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E3" w:rsidRDefault="00423AE3">
      <w:pPr>
        <w:rPr>
          <w:lang w:val="en-US"/>
        </w:rPr>
      </w:pPr>
    </w:p>
    <w:p w:rsidR="003C3156" w:rsidRDefault="003C3156" w:rsidP="003C3156">
      <w:pPr>
        <w:pStyle w:val="Nagwek2"/>
        <w:jc w:val="center"/>
        <w:rPr>
          <w:rFonts w:cs="Times New Roman"/>
          <w:lang w:val="en-US"/>
        </w:rPr>
      </w:pPr>
    </w:p>
    <w:p w:rsidR="003C3156" w:rsidRDefault="003C3156" w:rsidP="003C3156">
      <w:pPr>
        <w:pStyle w:val="Nagwek2"/>
        <w:jc w:val="center"/>
        <w:rPr>
          <w:rFonts w:cs="Times New Roman"/>
          <w:lang w:val="en-US"/>
        </w:rPr>
      </w:pPr>
    </w:p>
    <w:p w:rsidR="003C3156" w:rsidRDefault="003C3156" w:rsidP="003C3156">
      <w:pPr>
        <w:pStyle w:val="Nagwek2"/>
        <w:jc w:val="center"/>
        <w:rPr>
          <w:rFonts w:cs="Times New Roman"/>
          <w:lang w:val="en-US"/>
        </w:rPr>
      </w:pPr>
    </w:p>
    <w:p w:rsidR="003C3156" w:rsidRDefault="003C3156" w:rsidP="003C3156">
      <w:pPr>
        <w:pStyle w:val="Nagwek2"/>
        <w:jc w:val="center"/>
        <w:rPr>
          <w:rFonts w:cs="Times New Roman"/>
          <w:lang w:val="en-US"/>
        </w:rPr>
      </w:pPr>
    </w:p>
    <w:p w:rsidR="003C3156" w:rsidRDefault="003C3156" w:rsidP="003C3156">
      <w:pPr>
        <w:pStyle w:val="Nagwek2"/>
        <w:jc w:val="center"/>
        <w:rPr>
          <w:rFonts w:cs="Times New Roman"/>
          <w:lang w:val="en-US"/>
        </w:rPr>
      </w:pPr>
    </w:p>
    <w:p w:rsidR="003C3156" w:rsidRDefault="003C3156" w:rsidP="003C3156">
      <w:pPr>
        <w:pStyle w:val="Nagwek2"/>
        <w:jc w:val="center"/>
        <w:rPr>
          <w:rFonts w:cs="Times New Roman"/>
          <w:lang w:val="en-US"/>
        </w:rPr>
      </w:pPr>
    </w:p>
    <w:p w:rsidR="003C3156" w:rsidRDefault="003C3156" w:rsidP="003C3156">
      <w:pPr>
        <w:pStyle w:val="Nagwek2"/>
        <w:jc w:val="center"/>
        <w:rPr>
          <w:rFonts w:cs="Times New Roman"/>
          <w:lang w:val="en-US"/>
        </w:rPr>
      </w:pPr>
    </w:p>
    <w:p w:rsidR="003C3156" w:rsidRDefault="003C3156" w:rsidP="003C3156">
      <w:pPr>
        <w:pStyle w:val="Nagwek2"/>
        <w:jc w:val="center"/>
        <w:rPr>
          <w:rFonts w:cs="Times New Roman"/>
          <w:lang w:val="en-US"/>
        </w:rPr>
      </w:pPr>
    </w:p>
    <w:p w:rsidR="00E67A13" w:rsidRDefault="00FB4B84" w:rsidP="003C3156">
      <w:pPr>
        <w:pStyle w:val="Nagwek2"/>
        <w:jc w:val="center"/>
        <w:rPr>
          <w:rFonts w:cs="Times New Roman"/>
          <w:lang w:val="en-US"/>
        </w:rPr>
      </w:pPr>
      <w:r w:rsidRPr="003C3156">
        <w:rPr>
          <w:rFonts w:cs="Times New Roman"/>
          <w:lang w:val="en-US"/>
        </w:rPr>
        <w:t>Cities for our grandchildren: PPP projects undertaken with responsibility towards future generations</w:t>
      </w:r>
    </w:p>
    <w:p w:rsidR="003C3156" w:rsidRDefault="003C3156" w:rsidP="003C3156">
      <w:pPr>
        <w:rPr>
          <w:lang w:val="en-US"/>
        </w:rPr>
      </w:pPr>
    </w:p>
    <w:p w:rsidR="003C3156" w:rsidRPr="00A84C27" w:rsidRDefault="003C3156" w:rsidP="003C3156">
      <w:pPr>
        <w:jc w:val="center"/>
        <w:rPr>
          <w:rFonts w:cs="Times New Roman"/>
          <w:lang w:val="en-US"/>
        </w:rPr>
      </w:pPr>
      <w:proofErr w:type="spellStart"/>
      <w:r w:rsidRPr="00A84C27">
        <w:rPr>
          <w:rFonts w:cs="Times New Roman"/>
          <w:lang w:val="en-US"/>
        </w:rPr>
        <w:t>Katarzyna</w:t>
      </w:r>
      <w:proofErr w:type="spellEnd"/>
      <w:r w:rsidRPr="00A84C27">
        <w:rPr>
          <w:rFonts w:cs="Times New Roman"/>
          <w:lang w:val="en-US"/>
        </w:rPr>
        <w:t xml:space="preserve"> G. </w:t>
      </w:r>
      <w:proofErr w:type="spellStart"/>
      <w:r w:rsidRPr="00A84C27">
        <w:rPr>
          <w:rFonts w:cs="Times New Roman"/>
          <w:lang w:val="en-US"/>
        </w:rPr>
        <w:t>Sobiech-Grabka</w:t>
      </w:r>
      <w:proofErr w:type="spellEnd"/>
    </w:p>
    <w:p w:rsidR="003C3156" w:rsidRPr="00A84C27" w:rsidRDefault="003C3156" w:rsidP="003C3156">
      <w:pPr>
        <w:jc w:val="center"/>
        <w:rPr>
          <w:rFonts w:cs="Times New Roman"/>
          <w:lang w:val="en-US"/>
        </w:rPr>
      </w:pPr>
      <w:r w:rsidRPr="00A84C27">
        <w:rPr>
          <w:rFonts w:cs="Times New Roman"/>
          <w:lang w:val="en-US"/>
        </w:rPr>
        <w:t>Warsaw School of Economics</w:t>
      </w:r>
    </w:p>
    <w:p w:rsidR="003C3156" w:rsidRPr="00A84C27" w:rsidRDefault="003C3156" w:rsidP="003C3156">
      <w:pPr>
        <w:rPr>
          <w:lang w:val="en-US"/>
        </w:rPr>
      </w:pPr>
    </w:p>
    <w:p w:rsidR="003C3156" w:rsidRPr="00A84C27" w:rsidRDefault="003C3156">
      <w:pPr>
        <w:jc w:val="left"/>
        <w:rPr>
          <w:lang w:val="en-US"/>
        </w:rPr>
      </w:pPr>
      <w:r w:rsidRPr="00A84C27">
        <w:rPr>
          <w:lang w:val="en-US"/>
        </w:rPr>
        <w:br w:type="page"/>
      </w:r>
    </w:p>
    <w:p w:rsidR="00EC3935" w:rsidRPr="00A84C27" w:rsidRDefault="003C3156" w:rsidP="003C3156">
      <w:pPr>
        <w:pStyle w:val="Nagwek3"/>
        <w:jc w:val="center"/>
        <w:rPr>
          <w:rFonts w:cs="Times New Roman"/>
          <w:b w:val="0"/>
          <w:color w:val="000000" w:themeColor="text1"/>
          <w:lang w:val="en-US"/>
        </w:rPr>
      </w:pPr>
      <w:r w:rsidRPr="00A84C27">
        <w:rPr>
          <w:rFonts w:cs="Times New Roman"/>
          <w:b w:val="0"/>
          <w:color w:val="000000" w:themeColor="text1"/>
          <w:lang w:val="en-US"/>
        </w:rPr>
        <w:lastRenderedPageBreak/>
        <w:t>Abstract</w:t>
      </w:r>
    </w:p>
    <w:p w:rsidR="0025238B" w:rsidRDefault="0025238B" w:rsidP="0025238B">
      <w:pPr>
        <w:rPr>
          <w:lang w:val="en-US"/>
        </w:rPr>
      </w:pPr>
      <w:r w:rsidRPr="0025238B">
        <w:rPr>
          <w:lang w:val="en-US"/>
        </w:rPr>
        <w:t>PPP</w:t>
      </w:r>
      <w:r w:rsidRPr="0025238B">
        <w:rPr>
          <w:rFonts w:ascii="Cambria Math" w:hAnsi="Cambria Math" w:cs="Cambria Math"/>
          <w:lang w:val="en-US"/>
        </w:rPr>
        <w:t>‐</w:t>
      </w:r>
      <w:r w:rsidRPr="0025238B">
        <w:rPr>
          <w:rFonts w:cs="Times New Roman"/>
          <w:lang w:val="en-US"/>
        </w:rPr>
        <w:t>style cooperation between public and private p</w:t>
      </w:r>
      <w:r w:rsidRPr="0025238B">
        <w:rPr>
          <w:lang w:val="en-US"/>
        </w:rPr>
        <w:t>artners</w:t>
      </w:r>
      <w:r>
        <w:rPr>
          <w:lang w:val="en-US"/>
        </w:rPr>
        <w:t xml:space="preserve"> is becoming more popular in Poland. </w:t>
      </w:r>
      <w:r w:rsidRPr="00A84C27">
        <w:rPr>
          <w:lang w:val="en-US"/>
        </w:rPr>
        <w:t>Nevertheless, the issue of intergenerational responsibility</w:t>
      </w:r>
      <w:r>
        <w:rPr>
          <w:rFonts w:cs="Times New Roman"/>
          <w:bCs/>
          <w:sz w:val="26"/>
          <w:szCs w:val="26"/>
          <w:lang w:val="en-US"/>
        </w:rPr>
        <w:t xml:space="preserve"> </w:t>
      </w:r>
      <w:r>
        <w:rPr>
          <w:lang w:val="en-US"/>
        </w:rPr>
        <w:t xml:space="preserve">for its effects is not taken into consideration while assessing outcomes and drawbacks of PPP contracts. The author examines </w:t>
      </w:r>
      <w:r w:rsidR="00FB2473">
        <w:rPr>
          <w:lang w:val="en-US"/>
        </w:rPr>
        <w:t>several</w:t>
      </w:r>
      <w:r>
        <w:rPr>
          <w:lang w:val="en-US"/>
        </w:rPr>
        <w:t xml:space="preserve"> Polish PPP undertakings in order to delineate the most important </w:t>
      </w:r>
      <w:r w:rsidR="005733BC">
        <w:rPr>
          <w:lang w:val="en-US"/>
        </w:rPr>
        <w:t>components</w:t>
      </w:r>
      <w:r>
        <w:rPr>
          <w:lang w:val="en-US"/>
        </w:rPr>
        <w:t xml:space="preserve"> of intergenerational responsibility.</w:t>
      </w:r>
    </w:p>
    <w:p w:rsidR="005733BC" w:rsidRDefault="005733BC" w:rsidP="0025238B">
      <w:pPr>
        <w:rPr>
          <w:lang w:val="en-US"/>
        </w:rPr>
      </w:pPr>
      <w:r>
        <w:rPr>
          <w:lang w:val="en-US"/>
        </w:rPr>
        <w:t xml:space="preserve">The scope of intergenerational responsibility may be </w:t>
      </w:r>
      <w:r w:rsidR="00FB2473">
        <w:rPr>
          <w:lang w:val="en-US"/>
        </w:rPr>
        <w:t>separated in</w:t>
      </w:r>
      <w:r>
        <w:rPr>
          <w:lang w:val="en-US"/>
        </w:rPr>
        <w:t xml:space="preserve">to financial and non-financial factors. It appears that some projects are more </w:t>
      </w:r>
      <w:proofErr w:type="spellStart"/>
      <w:r>
        <w:rPr>
          <w:lang w:val="en-US"/>
        </w:rPr>
        <w:t>intergenerationally</w:t>
      </w:r>
      <w:proofErr w:type="spellEnd"/>
      <w:r>
        <w:rPr>
          <w:lang w:val="en-US"/>
        </w:rPr>
        <w:t>-neutral as the others. Those that</w:t>
      </w:r>
      <w:r w:rsidR="00410A60">
        <w:rPr>
          <w:lang w:val="en-US"/>
        </w:rPr>
        <w:t xml:space="preserve"> favour</w:t>
      </w:r>
      <w:r>
        <w:rPr>
          <w:lang w:val="en-US"/>
        </w:rPr>
        <w:t xml:space="preserve"> future generations are either addressed to the young or paid back </w:t>
      </w:r>
      <w:r w:rsidR="001E63A8">
        <w:rPr>
          <w:lang w:val="en-US"/>
        </w:rPr>
        <w:t>from actual public budgets.</w:t>
      </w:r>
    </w:p>
    <w:p w:rsidR="003C3156" w:rsidRPr="005733BC" w:rsidRDefault="003C3156" w:rsidP="00EC3935">
      <w:pPr>
        <w:pStyle w:val="Nagwek2"/>
        <w:rPr>
          <w:rFonts w:cs="Times New Roman"/>
          <w:b w:val="0"/>
          <w:i/>
          <w:sz w:val="20"/>
          <w:szCs w:val="20"/>
          <w:lang w:val="en-US"/>
        </w:rPr>
      </w:pPr>
      <w:r w:rsidRPr="005733BC">
        <w:rPr>
          <w:rFonts w:cs="Times New Roman"/>
          <w:b w:val="0"/>
          <w:i/>
          <w:sz w:val="20"/>
          <w:szCs w:val="20"/>
          <w:lang w:val="en-US"/>
        </w:rPr>
        <w:t>Keywords: public-private partnerships, public investments, intergenerational responsibility, infrastructure gap, Poland</w:t>
      </w:r>
    </w:p>
    <w:p w:rsidR="00A23230" w:rsidRDefault="00DA7B4E" w:rsidP="00EC3935">
      <w:pPr>
        <w:pStyle w:val="Nagwek2"/>
        <w:rPr>
          <w:lang w:val="en-US"/>
        </w:rPr>
      </w:pPr>
      <w:r>
        <w:rPr>
          <w:lang w:val="en-US"/>
        </w:rPr>
        <w:t xml:space="preserve">1. </w:t>
      </w:r>
      <w:r w:rsidR="00EC3935">
        <w:rPr>
          <w:lang w:val="en-US"/>
        </w:rPr>
        <w:t>Introduction</w:t>
      </w:r>
    </w:p>
    <w:p w:rsidR="00DA6E88" w:rsidRPr="00635003" w:rsidRDefault="00DA6E88" w:rsidP="00DA6E88">
      <w:pPr>
        <w:rPr>
          <w:lang w:val="en-GB"/>
        </w:rPr>
      </w:pPr>
      <w:r w:rsidRPr="00635003">
        <w:rPr>
          <w:lang w:val="en-GB"/>
        </w:rPr>
        <w:t xml:space="preserve">Over fifty years after the initial publication of Jane Jacob's masterpiece, </w:t>
      </w:r>
      <w:r w:rsidRPr="00635003">
        <w:rPr>
          <w:i/>
          <w:lang w:val="en-GB"/>
        </w:rPr>
        <w:t>The Death and Life of Great American Cities</w:t>
      </w:r>
      <w:r w:rsidRPr="00635003">
        <w:rPr>
          <w:lang w:val="en-GB"/>
        </w:rPr>
        <w:t>, Polish cities face similar development dilemmas:  how to make city streets friendly and safe, what are the relations between</w:t>
      </w:r>
      <w:r>
        <w:rPr>
          <w:lang w:val="en-GB"/>
        </w:rPr>
        <w:t xml:space="preserve"> a</w:t>
      </w:r>
      <w:r w:rsidRPr="00635003">
        <w:rPr>
          <w:lang w:val="en-GB"/>
        </w:rPr>
        <w:t xml:space="preserve"> city and its neighbourhood</w:t>
      </w:r>
      <w:r>
        <w:rPr>
          <w:lang w:val="en-GB"/>
        </w:rPr>
        <w:t>s, what are the best ways of reversing decay, etc.</w:t>
      </w:r>
    </w:p>
    <w:p w:rsidR="00DA6E88" w:rsidRDefault="00DA6E88" w:rsidP="00DA6E88">
      <w:pPr>
        <w:rPr>
          <w:lang w:val="en-US"/>
        </w:rPr>
      </w:pPr>
      <w:r w:rsidRPr="00635003">
        <w:rPr>
          <w:lang w:val="en-GB"/>
        </w:rPr>
        <w:t xml:space="preserve">Jane Jacobs pointed out that humanistic management of cities might be a solution for those dilemmas </w:t>
      </w:r>
      <w:r>
        <w:rPr>
          <w:lang w:val="en-GB"/>
        </w:rPr>
        <w:t>as it</w:t>
      </w:r>
      <w:r w:rsidRPr="00635003">
        <w:rPr>
          <w:lang w:val="en-GB"/>
        </w:rPr>
        <w:t xml:space="preserve"> </w:t>
      </w:r>
      <w:r w:rsidRPr="008B4E38">
        <w:rPr>
          <w:lang w:val="en-US"/>
        </w:rPr>
        <w:t xml:space="preserve">supports </w:t>
      </w:r>
      <w:r w:rsidRPr="00635003">
        <w:rPr>
          <w:lang w:val="en-GB"/>
        </w:rPr>
        <w:t>social</w:t>
      </w:r>
      <w:r>
        <w:rPr>
          <w:lang w:val="en-US"/>
        </w:rPr>
        <w:t xml:space="preserve"> and economic vitality in cities.</w:t>
      </w:r>
    </w:p>
    <w:p w:rsidR="00C87F39" w:rsidRDefault="00DA6E88" w:rsidP="00C87F39">
      <w:pPr>
        <w:rPr>
          <w:lang w:val="en-GB"/>
        </w:rPr>
      </w:pPr>
      <w:r w:rsidRPr="00635003">
        <w:rPr>
          <w:lang w:val="en-GB"/>
        </w:rPr>
        <w:t xml:space="preserve">Polish local authorities have to manage cities </w:t>
      </w:r>
      <w:r>
        <w:rPr>
          <w:lang w:val="en-GB"/>
        </w:rPr>
        <w:t xml:space="preserve">while </w:t>
      </w:r>
      <w:r w:rsidRPr="00635003">
        <w:rPr>
          <w:lang w:val="en-GB"/>
        </w:rPr>
        <w:t>dealing with numerous obstacles</w:t>
      </w:r>
      <w:r>
        <w:rPr>
          <w:lang w:val="en-GB"/>
        </w:rPr>
        <w:t xml:space="preserve">, including </w:t>
      </w:r>
      <w:r w:rsidRPr="00635003">
        <w:rPr>
          <w:lang w:val="en-GB"/>
        </w:rPr>
        <w:t xml:space="preserve">budgetary constraints, land </w:t>
      </w:r>
      <w:r w:rsidRPr="008B4E38">
        <w:rPr>
          <w:lang w:val="en-GB"/>
        </w:rPr>
        <w:t>owners’ opposition to</w:t>
      </w:r>
      <w:r w:rsidRPr="00635003">
        <w:rPr>
          <w:lang w:val="en-GB"/>
        </w:rPr>
        <w:t xml:space="preserve"> </w:t>
      </w:r>
      <w:r>
        <w:rPr>
          <w:lang w:val="en-GB"/>
        </w:rPr>
        <w:t xml:space="preserve">planning </w:t>
      </w:r>
      <w:r w:rsidRPr="00635003">
        <w:rPr>
          <w:lang w:val="en-GB"/>
        </w:rPr>
        <w:t>restrictions</w:t>
      </w:r>
      <w:r>
        <w:rPr>
          <w:lang w:val="en-GB"/>
        </w:rPr>
        <w:t xml:space="preserve">, the unwanted legacy of </w:t>
      </w:r>
      <w:r>
        <w:rPr>
          <w:lang w:val="en-GB"/>
        </w:rPr>
        <w:t>socialism,</w:t>
      </w:r>
      <w:r w:rsidRPr="00635003">
        <w:rPr>
          <w:lang w:val="en-GB"/>
        </w:rPr>
        <w:t xml:space="preserve"> and inefficient </w:t>
      </w:r>
      <w:r>
        <w:rPr>
          <w:lang w:val="en-GB"/>
        </w:rPr>
        <w:t xml:space="preserve">laws concerning spatial </w:t>
      </w:r>
      <w:r w:rsidRPr="00635003">
        <w:rPr>
          <w:lang w:val="en-GB"/>
        </w:rPr>
        <w:t xml:space="preserve">planning. </w:t>
      </w:r>
      <w:r w:rsidR="00C87F39">
        <w:rPr>
          <w:lang w:val="en-GB"/>
        </w:rPr>
        <w:t xml:space="preserve">However, </w:t>
      </w:r>
      <w:r w:rsidR="00FB2473">
        <w:rPr>
          <w:lang w:val="en-GB"/>
        </w:rPr>
        <w:t>a</w:t>
      </w:r>
      <w:r w:rsidR="00C87F39">
        <w:rPr>
          <w:lang w:val="en-GB"/>
        </w:rPr>
        <w:t xml:space="preserve"> minority of local Polish leaders is aware of </w:t>
      </w:r>
      <w:r w:rsidR="00C87F39">
        <w:rPr>
          <w:lang w:val="en-GB"/>
        </w:rPr>
        <w:t xml:space="preserve">those multidimensional </w:t>
      </w:r>
      <w:r w:rsidR="00C87F39">
        <w:rPr>
          <w:lang w:val="en-GB"/>
        </w:rPr>
        <w:t xml:space="preserve">development dilemmas. </w:t>
      </w:r>
    </w:p>
    <w:p w:rsidR="00DA6E88" w:rsidRDefault="00DA6E88" w:rsidP="00DA6E88">
      <w:pPr>
        <w:rPr>
          <w:lang w:val="en-GB"/>
        </w:rPr>
      </w:pPr>
      <w:r w:rsidRPr="00635003">
        <w:rPr>
          <w:lang w:val="en-GB"/>
        </w:rPr>
        <w:t xml:space="preserve">Recently, public-private partnerships </w:t>
      </w:r>
      <w:r>
        <w:rPr>
          <w:lang w:val="en-GB"/>
        </w:rPr>
        <w:t>have been</w:t>
      </w:r>
      <w:r w:rsidRPr="00635003">
        <w:rPr>
          <w:lang w:val="en-GB"/>
        </w:rPr>
        <w:t xml:space="preserve"> perceived </w:t>
      </w:r>
      <w:r>
        <w:rPr>
          <w:lang w:val="en-GB"/>
        </w:rPr>
        <w:t>by some Polish mayors</w:t>
      </w:r>
      <w:r w:rsidR="00FB2473">
        <w:rPr>
          <w:lang w:val="en-GB"/>
        </w:rPr>
        <w:t xml:space="preserve"> and other political and administrative leaders</w:t>
      </w:r>
      <w:r>
        <w:rPr>
          <w:lang w:val="en-GB"/>
        </w:rPr>
        <w:t xml:space="preserve"> </w:t>
      </w:r>
      <w:r w:rsidRPr="00635003">
        <w:rPr>
          <w:lang w:val="en-GB"/>
        </w:rPr>
        <w:t xml:space="preserve">as </w:t>
      </w:r>
      <w:r>
        <w:rPr>
          <w:lang w:val="en-GB"/>
        </w:rPr>
        <w:t>a</w:t>
      </w:r>
      <w:r w:rsidRPr="00635003">
        <w:rPr>
          <w:lang w:val="en-GB"/>
        </w:rPr>
        <w:t xml:space="preserve"> useful tool for overcoming financial and organi</w:t>
      </w:r>
      <w:r>
        <w:rPr>
          <w:lang w:val="en-GB"/>
        </w:rPr>
        <w:t>s</w:t>
      </w:r>
      <w:r w:rsidRPr="00635003">
        <w:rPr>
          <w:lang w:val="en-GB"/>
        </w:rPr>
        <w:t>ational problems.</w:t>
      </w:r>
      <w:r>
        <w:rPr>
          <w:lang w:val="en-GB"/>
        </w:rPr>
        <w:t xml:space="preserve"> Unfortunately, PPP projects undertaken in Poland so far seem to be only aimed at addressing short-term financial ills: the main motivation is to keep the project neutral for the public budget</w:t>
      </w:r>
      <w:r w:rsidR="008E1849" w:rsidRPr="008E1849">
        <w:rPr>
          <w:lang w:val="en-US"/>
        </w:rPr>
        <w:t xml:space="preserve">, </w:t>
      </w:r>
      <w:r w:rsidR="008E1849">
        <w:rPr>
          <w:lang w:val="en-US"/>
        </w:rPr>
        <w:t xml:space="preserve">according to the </w:t>
      </w:r>
      <w:proofErr w:type="spellStart"/>
      <w:r w:rsidR="008E1849">
        <w:rPr>
          <w:lang w:val="en-US"/>
        </w:rPr>
        <w:t>Eurostat</w:t>
      </w:r>
      <w:proofErr w:type="spellEnd"/>
      <w:r w:rsidR="008E1849">
        <w:rPr>
          <w:lang w:val="en-US"/>
        </w:rPr>
        <w:t xml:space="preserve"> rules</w:t>
      </w:r>
      <w:r>
        <w:rPr>
          <w:lang w:val="en-GB"/>
        </w:rPr>
        <w:t xml:space="preserve">. </w:t>
      </w:r>
    </w:p>
    <w:p w:rsidR="00DA6E88" w:rsidRPr="005733BC" w:rsidRDefault="00DA6E88" w:rsidP="00DA6E88">
      <w:pPr>
        <w:rPr>
          <w:lang w:val="en-US"/>
        </w:rPr>
      </w:pPr>
      <w:r>
        <w:rPr>
          <w:lang w:val="en-GB"/>
        </w:rPr>
        <w:t>Additional aspects, such as the intergenerational responsibility for PPP projects – a key part of humanistic management – are</w:t>
      </w:r>
      <w:r w:rsidRPr="005C4E69">
        <w:rPr>
          <w:lang w:val="en-US"/>
        </w:rPr>
        <w:t xml:space="preserve"> ignored. Nonetheless, </w:t>
      </w:r>
      <w:r w:rsidR="00DA7B4E">
        <w:rPr>
          <w:lang w:val="en-US"/>
        </w:rPr>
        <w:t xml:space="preserve">as follows from the literature review in section 2, </w:t>
      </w:r>
      <w:r>
        <w:rPr>
          <w:lang w:val="en-US"/>
        </w:rPr>
        <w:t>this issue is especially important with reference to PPP projects that</w:t>
      </w:r>
      <w:r w:rsidR="00410A60">
        <w:rPr>
          <w:lang w:val="en-US"/>
        </w:rPr>
        <w:t xml:space="preserve"> require</w:t>
      </w:r>
      <w:r>
        <w:rPr>
          <w:lang w:val="en-US"/>
        </w:rPr>
        <w:t xml:space="preserve"> long-term obligations of the public sector to its private partner. Higher capital costs in the case of private finance, especially during financial crises, present crucial challenges for future generations, including budgetary challenges (i.e., </w:t>
      </w:r>
      <w:r w:rsidRPr="005733BC">
        <w:rPr>
          <w:lang w:val="en-US"/>
        </w:rPr>
        <w:t>higher taxes and less total budget available), pollution, and inappropriate use of land.</w:t>
      </w:r>
    </w:p>
    <w:p w:rsidR="00DA7B4E" w:rsidRPr="005733BC" w:rsidRDefault="00DA6E88" w:rsidP="00DA6E88">
      <w:pPr>
        <w:rPr>
          <w:lang w:val="en-US"/>
        </w:rPr>
      </w:pPr>
      <w:r w:rsidRPr="005733BC">
        <w:rPr>
          <w:lang w:val="en-US"/>
        </w:rPr>
        <w:t xml:space="preserve">The goal of the detailed analysis in this paper it is to </w:t>
      </w:r>
      <w:r w:rsidR="00DA7B4E" w:rsidRPr="005733BC">
        <w:rPr>
          <w:lang w:val="en-US"/>
        </w:rPr>
        <w:t>examine the idea of intergenerational justice in PPP projects</w:t>
      </w:r>
      <w:r w:rsidR="00CD0841">
        <w:rPr>
          <w:lang w:val="en-US"/>
        </w:rPr>
        <w:t>, and to assess</w:t>
      </w:r>
      <w:r w:rsidR="00DA7B4E" w:rsidRPr="005733BC">
        <w:rPr>
          <w:lang w:val="en-US"/>
        </w:rPr>
        <w:t xml:space="preserve"> some of Polish PPP undertakings with respect to this issue.</w:t>
      </w:r>
    </w:p>
    <w:p w:rsidR="00DA7B4E" w:rsidRPr="005733BC" w:rsidRDefault="00DA7B4E" w:rsidP="00DA6E88">
      <w:pPr>
        <w:rPr>
          <w:lang w:val="en-US"/>
        </w:rPr>
      </w:pPr>
      <w:r w:rsidRPr="005733BC">
        <w:rPr>
          <w:lang w:val="en-US"/>
        </w:rPr>
        <w:t xml:space="preserve">The rest of the paper is </w:t>
      </w:r>
      <w:proofErr w:type="spellStart"/>
      <w:r w:rsidRPr="005733BC">
        <w:rPr>
          <w:lang w:val="en-US"/>
        </w:rPr>
        <w:t>organised</w:t>
      </w:r>
      <w:proofErr w:type="spellEnd"/>
      <w:r w:rsidRPr="005733BC">
        <w:rPr>
          <w:lang w:val="en-US"/>
        </w:rPr>
        <w:t xml:space="preserve"> as follows: Section 2 deals with a literature review, </w:t>
      </w:r>
      <w:r w:rsidR="00CD0841">
        <w:rPr>
          <w:lang w:val="en-US"/>
        </w:rPr>
        <w:t xml:space="preserve">Section 3 presents </w:t>
      </w:r>
      <w:r w:rsidRPr="005733BC">
        <w:rPr>
          <w:lang w:val="en-US"/>
        </w:rPr>
        <w:t xml:space="preserve">some peculiarities </w:t>
      </w:r>
      <w:r w:rsidR="00CD0841">
        <w:rPr>
          <w:lang w:val="en-US"/>
        </w:rPr>
        <w:t xml:space="preserve">regarding </w:t>
      </w:r>
      <w:r w:rsidRPr="005733BC">
        <w:rPr>
          <w:lang w:val="en-US"/>
        </w:rPr>
        <w:t>Polish infrastructure needs</w:t>
      </w:r>
      <w:r w:rsidR="00CD0841">
        <w:rPr>
          <w:lang w:val="en-US"/>
        </w:rPr>
        <w:t>, and Section 4 presents Polish</w:t>
      </w:r>
      <w:r w:rsidRPr="005733BC">
        <w:rPr>
          <w:lang w:val="en-US"/>
        </w:rPr>
        <w:t xml:space="preserve"> PPP case studies. Final remarks close the paper in Section 5.</w:t>
      </w:r>
    </w:p>
    <w:p w:rsidR="003C3156" w:rsidRDefault="00DA7B4E" w:rsidP="003C3156">
      <w:pPr>
        <w:pStyle w:val="Nagwek2"/>
        <w:rPr>
          <w:lang w:val="en-US"/>
        </w:rPr>
      </w:pPr>
      <w:r>
        <w:rPr>
          <w:lang w:val="en-US"/>
        </w:rPr>
        <w:t xml:space="preserve">2. </w:t>
      </w:r>
      <w:r w:rsidR="00F51762">
        <w:rPr>
          <w:lang w:val="en-US"/>
        </w:rPr>
        <w:t>Literature r</w:t>
      </w:r>
      <w:r w:rsidR="003C3156">
        <w:rPr>
          <w:lang w:val="en-US"/>
        </w:rPr>
        <w:t>eview</w:t>
      </w:r>
      <w:r w:rsidR="00C87F39">
        <w:rPr>
          <w:lang w:val="en-US"/>
        </w:rPr>
        <w:t>: attitude</w:t>
      </w:r>
      <w:r w:rsidR="00CD0841">
        <w:rPr>
          <w:lang w:val="en-US"/>
        </w:rPr>
        <w:t>s</w:t>
      </w:r>
      <w:r w:rsidR="00C87F39">
        <w:rPr>
          <w:lang w:val="en-US"/>
        </w:rPr>
        <w:t xml:space="preserve"> towards PPP liabilities</w:t>
      </w:r>
    </w:p>
    <w:p w:rsidR="00C87F39" w:rsidRDefault="00C87F39" w:rsidP="003C3156">
      <w:pPr>
        <w:rPr>
          <w:lang w:val="en-US"/>
        </w:rPr>
      </w:pPr>
      <w:r>
        <w:rPr>
          <w:lang w:val="en-US"/>
        </w:rPr>
        <w:t xml:space="preserve">Before reviewing the literature in the field let us present a short example </w:t>
      </w:r>
      <w:r w:rsidR="00CD0841">
        <w:rPr>
          <w:lang w:val="en-US"/>
        </w:rPr>
        <w:t>based on</w:t>
      </w:r>
      <w:r>
        <w:rPr>
          <w:lang w:val="en-US"/>
        </w:rPr>
        <w:t xml:space="preserve"> Polish experience. Then we can examine the case </w:t>
      </w:r>
      <w:r w:rsidR="008E1849">
        <w:rPr>
          <w:lang w:val="en-US"/>
        </w:rPr>
        <w:t xml:space="preserve">while discussing </w:t>
      </w:r>
      <w:r>
        <w:rPr>
          <w:lang w:val="en-US"/>
        </w:rPr>
        <w:t xml:space="preserve">justice theories. </w:t>
      </w:r>
    </w:p>
    <w:p w:rsidR="0020054C" w:rsidRDefault="0020054C" w:rsidP="003C3156">
      <w:pPr>
        <w:rPr>
          <w:lang w:val="en-US"/>
        </w:rPr>
      </w:pPr>
      <w:r>
        <w:rPr>
          <w:lang w:val="en-US"/>
        </w:rPr>
        <w:lastRenderedPageBreak/>
        <w:t xml:space="preserve">The authorities of </w:t>
      </w:r>
      <w:proofErr w:type="spellStart"/>
      <w:r>
        <w:rPr>
          <w:lang w:val="en-US"/>
        </w:rPr>
        <w:t>Solec-Zdrój</w:t>
      </w:r>
      <w:proofErr w:type="spellEnd"/>
      <w:r>
        <w:rPr>
          <w:lang w:val="en-US"/>
        </w:rPr>
        <w:t xml:space="preserve"> (see the case study below for more detailed description of this project) decided to cooperate with a private partner in the form of PPP in order to provide a complex of mineral swimming pools for the local society</w:t>
      </w:r>
      <w:r w:rsidR="0053646B">
        <w:rPr>
          <w:lang w:val="en-US"/>
        </w:rPr>
        <w:t xml:space="preserve"> and tourists</w:t>
      </w:r>
      <w:r>
        <w:rPr>
          <w:lang w:val="en-US"/>
        </w:rPr>
        <w:t xml:space="preserve">. The project is co-financed by the EU funds, central government funds and private money. In this case the local government borrowed money from the private partner with the aim to use the unique mineral water springs. The feasibility study revealed that PPP was the only available option as the local budget faced some constraints. </w:t>
      </w:r>
      <w:r w:rsidR="00D72530">
        <w:rPr>
          <w:lang w:val="en-US"/>
        </w:rPr>
        <w:t>The private money is paid back within PPP over the long-term and the private partner has a</w:t>
      </w:r>
      <w:r w:rsidR="00C87F39">
        <w:rPr>
          <w:lang w:val="en-US"/>
        </w:rPr>
        <w:t xml:space="preserve"> unique</w:t>
      </w:r>
      <w:r w:rsidR="00D72530">
        <w:rPr>
          <w:lang w:val="en-US"/>
        </w:rPr>
        <w:t xml:space="preserve"> right to set the prices without any public control. Future generations of </w:t>
      </w:r>
      <w:proofErr w:type="spellStart"/>
      <w:r w:rsidR="00D72530">
        <w:rPr>
          <w:lang w:val="en-US"/>
        </w:rPr>
        <w:t>Solec-Zdrój</w:t>
      </w:r>
      <w:proofErr w:type="spellEnd"/>
      <w:r w:rsidR="00D72530">
        <w:rPr>
          <w:lang w:val="en-US"/>
        </w:rPr>
        <w:t xml:space="preserve"> would probably have to pay higher taxes as a result of this decision, despite not having been consulted about their preferences concerning this project. Moreover, the mineral water springs </w:t>
      </w:r>
      <w:r w:rsidR="00CD0841">
        <w:rPr>
          <w:lang w:val="en-US"/>
        </w:rPr>
        <w:t xml:space="preserve">are likely to be depleted </w:t>
      </w:r>
      <w:r w:rsidR="00D72530">
        <w:rPr>
          <w:lang w:val="en-US"/>
        </w:rPr>
        <w:t xml:space="preserve">before future generation might be able to use them. This example shows that perhaps we have some obligations to take account of the rights of people who will be alive in the future when we make our decisions today. That question leads us to </w:t>
      </w:r>
      <w:r w:rsidR="00154B89">
        <w:rPr>
          <w:lang w:val="en-US"/>
        </w:rPr>
        <w:t xml:space="preserve">three </w:t>
      </w:r>
      <w:r w:rsidR="00D2655C">
        <w:rPr>
          <w:lang w:val="en-US"/>
        </w:rPr>
        <w:t xml:space="preserve">influential </w:t>
      </w:r>
      <w:r w:rsidR="00D72530">
        <w:rPr>
          <w:lang w:val="en-US"/>
        </w:rPr>
        <w:t>theories of justice developed to-date.</w:t>
      </w:r>
      <w:r w:rsidR="00154B89">
        <w:rPr>
          <w:lang w:val="en-US"/>
        </w:rPr>
        <w:t xml:space="preserve"> </w:t>
      </w:r>
      <w:r w:rsidR="00CD0841">
        <w:rPr>
          <w:lang w:val="en-US"/>
        </w:rPr>
        <w:t xml:space="preserve">Each </w:t>
      </w:r>
      <w:r w:rsidR="00154B89">
        <w:rPr>
          <w:lang w:val="en-US"/>
        </w:rPr>
        <w:t xml:space="preserve">theory provides us with a different approach as regards the right of </w:t>
      </w:r>
      <w:r w:rsidR="00CD0841">
        <w:rPr>
          <w:lang w:val="en-US"/>
        </w:rPr>
        <w:t>a current</w:t>
      </w:r>
      <w:r w:rsidR="00154B89">
        <w:rPr>
          <w:lang w:val="en-US"/>
        </w:rPr>
        <w:t xml:space="preserve"> government to undertake any long-term commitments affecting future generations. </w:t>
      </w:r>
    </w:p>
    <w:p w:rsidR="00D72530" w:rsidRDefault="00D72530" w:rsidP="003C3156">
      <w:pPr>
        <w:rPr>
          <w:lang w:val="en-US"/>
        </w:rPr>
      </w:pPr>
      <w:r>
        <w:rPr>
          <w:lang w:val="en-US"/>
        </w:rPr>
        <w:t xml:space="preserve">John Stuart Mill proposed the </w:t>
      </w:r>
      <w:r w:rsidR="00577713">
        <w:rPr>
          <w:lang w:val="en-US"/>
        </w:rPr>
        <w:t xml:space="preserve">concept of </w:t>
      </w:r>
      <w:r>
        <w:rPr>
          <w:lang w:val="en-US"/>
        </w:rPr>
        <w:t xml:space="preserve">utilitarianism </w:t>
      </w:r>
      <w:r w:rsidR="00577713">
        <w:rPr>
          <w:lang w:val="en-US"/>
        </w:rPr>
        <w:t>with</w:t>
      </w:r>
      <w:r w:rsidR="00664A07">
        <w:rPr>
          <w:lang w:val="en-US"/>
        </w:rPr>
        <w:t xml:space="preserve"> "utility" </w:t>
      </w:r>
      <w:r>
        <w:rPr>
          <w:lang w:val="en-US"/>
        </w:rPr>
        <w:t xml:space="preserve">as a main factor appraising the justice. He argued that people have both negative and positive rights and injustice may be defined as violating somebody's rights. </w:t>
      </w:r>
      <w:r w:rsidR="00DD194B">
        <w:rPr>
          <w:lang w:val="en-US"/>
        </w:rPr>
        <w:t>In the case of contradictory individual interests</w:t>
      </w:r>
      <w:r w:rsidR="00D2655C">
        <w:rPr>
          <w:lang w:val="en-US"/>
        </w:rPr>
        <w:t xml:space="preserve">, they should be mediated by developing the solution which will deliver the greatest possible utility (happiness) for the greatest number of citizens. We could therefore expect that </w:t>
      </w:r>
      <w:proofErr w:type="spellStart"/>
      <w:r w:rsidR="00D2655C">
        <w:rPr>
          <w:lang w:val="en-US"/>
        </w:rPr>
        <w:t>utilitarians</w:t>
      </w:r>
      <w:proofErr w:type="spellEnd"/>
      <w:r w:rsidR="00D2655C">
        <w:rPr>
          <w:lang w:val="en-US"/>
        </w:rPr>
        <w:t xml:space="preserve"> would vote for building mineral swimmin</w:t>
      </w:r>
      <w:r w:rsidR="00154B89">
        <w:rPr>
          <w:lang w:val="en-US"/>
        </w:rPr>
        <w:t>g pools from the example</w:t>
      </w:r>
      <w:r w:rsidR="00CD0841">
        <w:rPr>
          <w:lang w:val="en-US"/>
        </w:rPr>
        <w:t>,</w:t>
      </w:r>
      <w:r w:rsidR="00154B89">
        <w:rPr>
          <w:lang w:val="en-US"/>
        </w:rPr>
        <w:t xml:space="preserve"> as the</w:t>
      </w:r>
      <w:r w:rsidR="00D2655C">
        <w:rPr>
          <w:lang w:val="en-US"/>
        </w:rPr>
        <w:t xml:space="preserve"> project would contribute to the greater good of everyone in the long run.</w:t>
      </w:r>
    </w:p>
    <w:p w:rsidR="00D2655C" w:rsidRDefault="00D2655C" w:rsidP="003C3156">
      <w:pPr>
        <w:rPr>
          <w:lang w:val="en-US"/>
        </w:rPr>
      </w:pPr>
      <w:r>
        <w:rPr>
          <w:lang w:val="en-US"/>
        </w:rPr>
        <w:t xml:space="preserve">On the contrary, John Locke and his followers (e.g. Robert </w:t>
      </w:r>
      <w:proofErr w:type="spellStart"/>
      <w:r>
        <w:rPr>
          <w:lang w:val="en-US"/>
        </w:rPr>
        <w:t>Nozick</w:t>
      </w:r>
      <w:proofErr w:type="spellEnd"/>
      <w:r>
        <w:rPr>
          <w:lang w:val="en-US"/>
        </w:rPr>
        <w:t>) would take a different point of view: as people have only three natural rights (life, liberty and the right to own property) and all taxation is a form of theft (</w:t>
      </w:r>
      <w:proofErr w:type="spellStart"/>
      <w:r>
        <w:rPr>
          <w:lang w:val="en-US"/>
        </w:rPr>
        <w:t>Nozick's</w:t>
      </w:r>
      <w:proofErr w:type="spellEnd"/>
      <w:r>
        <w:rPr>
          <w:lang w:val="en-US"/>
        </w:rPr>
        <w:t xml:space="preserve"> idea) violating the fundamental property right, </w:t>
      </w:r>
      <w:r w:rsidR="00CD0841">
        <w:rPr>
          <w:lang w:val="en-US"/>
        </w:rPr>
        <w:t xml:space="preserve">therefore </w:t>
      </w:r>
      <w:r>
        <w:rPr>
          <w:lang w:val="en-US"/>
        </w:rPr>
        <w:t xml:space="preserve">building swimming pools </w:t>
      </w:r>
      <w:r w:rsidR="00CD0841">
        <w:rPr>
          <w:lang w:val="en-US"/>
        </w:rPr>
        <w:t>at a cost to</w:t>
      </w:r>
      <w:r>
        <w:rPr>
          <w:lang w:val="en-US"/>
        </w:rPr>
        <w:t xml:space="preserve"> future generations could not be justified. According to this libertarian </w:t>
      </w:r>
      <w:r w:rsidR="00154B89">
        <w:rPr>
          <w:lang w:val="en-US"/>
        </w:rPr>
        <w:t>approach</w:t>
      </w:r>
      <w:r>
        <w:rPr>
          <w:lang w:val="en-US"/>
        </w:rPr>
        <w:t xml:space="preserve">, </w:t>
      </w:r>
      <w:r w:rsidR="00F371CE">
        <w:rPr>
          <w:lang w:val="en-US"/>
        </w:rPr>
        <w:t>the</w:t>
      </w:r>
      <w:r>
        <w:rPr>
          <w:lang w:val="en-US"/>
        </w:rPr>
        <w:t xml:space="preserve"> concept of a greater good is useless because it </w:t>
      </w:r>
      <w:r w:rsidR="00CD0841">
        <w:rPr>
          <w:lang w:val="en-US"/>
        </w:rPr>
        <w:t xml:space="preserve">is </w:t>
      </w:r>
      <w:r>
        <w:rPr>
          <w:lang w:val="en-US"/>
        </w:rPr>
        <w:t>supersede</w:t>
      </w:r>
      <w:r w:rsidR="00CD0841">
        <w:rPr>
          <w:lang w:val="en-US"/>
        </w:rPr>
        <w:t>d by</w:t>
      </w:r>
      <w:r>
        <w:rPr>
          <w:lang w:val="en-US"/>
        </w:rPr>
        <w:t xml:space="preserve"> individual </w:t>
      </w:r>
      <w:r>
        <w:rPr>
          <w:lang w:val="en-US"/>
        </w:rPr>
        <w:t xml:space="preserve">liberty. </w:t>
      </w:r>
    </w:p>
    <w:p w:rsidR="00154B89" w:rsidRDefault="00154B89" w:rsidP="003C3156">
      <w:pPr>
        <w:rPr>
          <w:lang w:val="en-US"/>
        </w:rPr>
      </w:pPr>
      <w:r>
        <w:rPr>
          <w:lang w:val="en-US"/>
        </w:rPr>
        <w:t>The third standpoint, proposed by John Rawls, focuses on</w:t>
      </w:r>
      <w:r w:rsidRPr="00154B89">
        <w:rPr>
          <w:lang w:val="en-US"/>
        </w:rPr>
        <w:t xml:space="preserve"> justice </w:t>
      </w:r>
      <w:r>
        <w:rPr>
          <w:lang w:val="en-US"/>
        </w:rPr>
        <w:t xml:space="preserve">understood </w:t>
      </w:r>
      <w:r w:rsidRPr="00154B89">
        <w:rPr>
          <w:lang w:val="en-US"/>
        </w:rPr>
        <w:t>as fairness</w:t>
      </w:r>
      <w:r>
        <w:rPr>
          <w:lang w:val="en-US"/>
        </w:rPr>
        <w:t xml:space="preserve">: </w:t>
      </w:r>
      <w:r w:rsidR="00BA53B1">
        <w:rPr>
          <w:lang w:val="en-US"/>
        </w:rPr>
        <w:t xml:space="preserve">inequalities are only permitted if they are directly beneficial to the </w:t>
      </w:r>
      <w:r w:rsidR="00F371CE">
        <w:rPr>
          <w:lang w:val="en-US"/>
        </w:rPr>
        <w:t>worse</w:t>
      </w:r>
      <w:r w:rsidR="00BA53B1">
        <w:rPr>
          <w:lang w:val="en-US"/>
        </w:rPr>
        <w:t>-off group, with the ultimate target of eradicating inequality.</w:t>
      </w:r>
      <w:r>
        <w:rPr>
          <w:lang w:val="en-US"/>
        </w:rPr>
        <w:t xml:space="preserve"> [New Statesman, Duties and Obligations between Generations, p. 2]</w:t>
      </w:r>
      <w:r w:rsidR="00BA53B1">
        <w:rPr>
          <w:lang w:val="en-US"/>
        </w:rPr>
        <w:t xml:space="preserve"> Relating to the </w:t>
      </w:r>
      <w:proofErr w:type="spellStart"/>
      <w:r w:rsidR="00BA53B1">
        <w:rPr>
          <w:lang w:val="en-US"/>
        </w:rPr>
        <w:t>Solec-Zdrój</w:t>
      </w:r>
      <w:proofErr w:type="spellEnd"/>
      <w:r w:rsidR="00BA53B1">
        <w:rPr>
          <w:lang w:val="en-US"/>
        </w:rPr>
        <w:t xml:space="preserve"> example: Rawls </w:t>
      </w:r>
      <w:r w:rsidR="006C36C8">
        <w:rPr>
          <w:lang w:val="en-US"/>
        </w:rPr>
        <w:t xml:space="preserve">probably </w:t>
      </w:r>
      <w:r w:rsidR="00BA53B1">
        <w:rPr>
          <w:lang w:val="en-US"/>
        </w:rPr>
        <w:t xml:space="preserve">would be in </w:t>
      </w:r>
      <w:proofErr w:type="spellStart"/>
      <w:r w:rsidR="00BA53B1">
        <w:rPr>
          <w:lang w:val="en-US"/>
        </w:rPr>
        <w:t>favour</w:t>
      </w:r>
      <w:proofErr w:type="spellEnd"/>
      <w:r w:rsidR="00BA53B1">
        <w:rPr>
          <w:lang w:val="en-US"/>
        </w:rPr>
        <w:t xml:space="preserve"> </w:t>
      </w:r>
      <w:r w:rsidR="00F371CE">
        <w:rPr>
          <w:lang w:val="en-US"/>
        </w:rPr>
        <w:t>of</w:t>
      </w:r>
      <w:r w:rsidR="00BA53B1">
        <w:rPr>
          <w:lang w:val="en-US"/>
        </w:rPr>
        <w:t xml:space="preserve"> the general idea of building the swimming pools because they might improve conditions for the poor, but he would propose a different way of </w:t>
      </w:r>
      <w:r w:rsidR="00410A60">
        <w:rPr>
          <w:lang w:val="en-US"/>
        </w:rPr>
        <w:t>remunerating</w:t>
      </w:r>
      <w:r w:rsidR="00F371CE">
        <w:rPr>
          <w:lang w:val="en-US"/>
        </w:rPr>
        <w:t xml:space="preserve"> the </w:t>
      </w:r>
      <w:r w:rsidR="00BA53B1">
        <w:rPr>
          <w:lang w:val="en-US"/>
        </w:rPr>
        <w:t>private partner (</w:t>
      </w:r>
      <w:r w:rsidR="00F371CE">
        <w:rPr>
          <w:lang w:val="en-US"/>
        </w:rPr>
        <w:t xml:space="preserve">e.g., </w:t>
      </w:r>
      <w:r w:rsidR="00BA53B1">
        <w:rPr>
          <w:lang w:val="en-US"/>
        </w:rPr>
        <w:t xml:space="preserve">paid by local government instead of </w:t>
      </w:r>
      <w:r w:rsidR="00F371CE">
        <w:rPr>
          <w:lang w:val="en-US"/>
        </w:rPr>
        <w:t xml:space="preserve">using </w:t>
      </w:r>
      <w:r w:rsidR="00BA53B1">
        <w:rPr>
          <w:lang w:val="en-US"/>
        </w:rPr>
        <w:t xml:space="preserve">tickets with prices set up freely by a private partner: as this </w:t>
      </w:r>
      <w:r w:rsidR="00F371CE">
        <w:rPr>
          <w:lang w:val="en-US"/>
        </w:rPr>
        <w:t xml:space="preserve">latter </w:t>
      </w:r>
      <w:r w:rsidR="00BA53B1">
        <w:rPr>
          <w:lang w:val="en-US"/>
        </w:rPr>
        <w:t xml:space="preserve">method would likely eliminate the poorer from using the pools). </w:t>
      </w:r>
    </w:p>
    <w:p w:rsidR="00BA53B1" w:rsidRDefault="008E077D" w:rsidP="003C3156">
      <w:pPr>
        <w:rPr>
          <w:lang w:val="en-US"/>
        </w:rPr>
      </w:pPr>
      <w:r>
        <w:rPr>
          <w:lang w:val="en-US"/>
        </w:rPr>
        <w:t xml:space="preserve">Let us leave the </w:t>
      </w:r>
      <w:r w:rsidRPr="00A84C27">
        <w:rPr>
          <w:lang w:val="en-US"/>
        </w:rPr>
        <w:t>“ivory tower”</w:t>
      </w:r>
      <w:r>
        <w:rPr>
          <w:lang w:val="en-US"/>
        </w:rPr>
        <w:t xml:space="preserve"> of </w:t>
      </w:r>
      <w:r w:rsidR="00BA53B1">
        <w:rPr>
          <w:lang w:val="en-US"/>
        </w:rPr>
        <w:t>great philosophers of the past</w:t>
      </w:r>
      <w:r>
        <w:rPr>
          <w:lang w:val="en-US"/>
        </w:rPr>
        <w:t xml:space="preserve"> and consult some </w:t>
      </w:r>
      <w:r w:rsidR="002C7C95">
        <w:rPr>
          <w:lang w:val="en-US"/>
        </w:rPr>
        <w:t>contemporary researchers</w:t>
      </w:r>
      <w:r>
        <w:rPr>
          <w:lang w:val="en-US"/>
        </w:rPr>
        <w:t xml:space="preserve"> dealing with the issue of intergenerational appraisal of projects.</w:t>
      </w:r>
    </w:p>
    <w:p w:rsidR="00664A07" w:rsidRDefault="00F13A58" w:rsidP="003C3156">
      <w:pPr>
        <w:rPr>
          <w:lang w:val="en-US"/>
        </w:rPr>
      </w:pPr>
      <w:r>
        <w:rPr>
          <w:lang w:val="en-US"/>
        </w:rPr>
        <w:t>Economists</w:t>
      </w:r>
      <w:r w:rsidR="00664A07">
        <w:rPr>
          <w:lang w:val="en-US"/>
        </w:rPr>
        <w:t xml:space="preserve"> </w:t>
      </w:r>
      <w:r w:rsidR="00F371CE">
        <w:rPr>
          <w:lang w:val="en-US"/>
        </w:rPr>
        <w:t xml:space="preserve">have </w:t>
      </w:r>
      <w:r w:rsidR="00664A07">
        <w:rPr>
          <w:lang w:val="en-US"/>
        </w:rPr>
        <w:t xml:space="preserve">underlined the </w:t>
      </w:r>
      <w:proofErr w:type="spellStart"/>
      <w:r w:rsidR="00664A07">
        <w:rPr>
          <w:lang w:val="en-US"/>
        </w:rPr>
        <w:t>intertemporal</w:t>
      </w:r>
      <w:proofErr w:type="spellEnd"/>
      <w:r w:rsidR="00664A07">
        <w:rPr>
          <w:lang w:val="en-US"/>
        </w:rPr>
        <w:t xml:space="preserve"> </w:t>
      </w:r>
      <w:r w:rsidR="008B6DFD">
        <w:rPr>
          <w:lang w:val="en-US"/>
        </w:rPr>
        <w:t>nature of investment decisions</w:t>
      </w:r>
      <w:r w:rsidR="00664A07">
        <w:rPr>
          <w:lang w:val="en-US"/>
        </w:rPr>
        <w:t xml:space="preserve"> for years. </w:t>
      </w:r>
      <w:r w:rsidR="0034162E">
        <w:rPr>
          <w:lang w:val="en-US"/>
        </w:rPr>
        <w:t xml:space="preserve">Hepburn notes that even if discounting (widely employed in social cost-benefit analysis) was a useful tool allowing </w:t>
      </w:r>
      <w:r w:rsidR="00F371CE">
        <w:rPr>
          <w:lang w:val="en-US"/>
        </w:rPr>
        <w:t>the</w:t>
      </w:r>
      <w:r w:rsidR="0034162E">
        <w:rPr>
          <w:lang w:val="en-US"/>
        </w:rPr>
        <w:t xml:space="preserve"> formulat</w:t>
      </w:r>
      <w:r w:rsidR="00F371CE">
        <w:rPr>
          <w:lang w:val="en-US"/>
        </w:rPr>
        <w:t>ion of</w:t>
      </w:r>
      <w:r w:rsidR="0034162E">
        <w:rPr>
          <w:lang w:val="en-US"/>
        </w:rPr>
        <w:t xml:space="preserve"> an accurate policy over the short to medium term, it may appear counter-productive for longer term decisions. (Hepburn, 2007, p. 109)</w:t>
      </w:r>
      <w:r w:rsidR="003926BB">
        <w:rPr>
          <w:lang w:val="en-US"/>
        </w:rPr>
        <w:t xml:space="preserve"> Having </w:t>
      </w:r>
      <w:proofErr w:type="spellStart"/>
      <w:r w:rsidR="003926BB">
        <w:rPr>
          <w:lang w:val="en-US"/>
        </w:rPr>
        <w:t>analysed</w:t>
      </w:r>
      <w:proofErr w:type="spellEnd"/>
      <w:r w:rsidR="003926BB">
        <w:rPr>
          <w:lang w:val="en-US"/>
        </w:rPr>
        <w:t xml:space="preserve"> the issue of alternatives</w:t>
      </w:r>
      <w:r>
        <w:rPr>
          <w:lang w:val="en-US"/>
        </w:rPr>
        <w:t xml:space="preserve"> to discounting</w:t>
      </w:r>
      <w:r w:rsidR="003926BB">
        <w:rPr>
          <w:lang w:val="en-US"/>
        </w:rPr>
        <w:t xml:space="preserve">, Hepburn states that declining discount rates may </w:t>
      </w:r>
      <w:r>
        <w:rPr>
          <w:lang w:val="en-US"/>
        </w:rPr>
        <w:t>provide</w:t>
      </w:r>
      <w:r w:rsidR="003926BB">
        <w:rPr>
          <w:lang w:val="en-US"/>
        </w:rPr>
        <w:t xml:space="preserve"> "an appealing solution to the dual problems of intergenerational efficiency and equity"</w:t>
      </w:r>
      <w:r>
        <w:rPr>
          <w:lang w:val="en-US"/>
        </w:rPr>
        <w:t xml:space="preserve"> (Hepburn, 2007, p. 118). Schelling proposed a different approach (named "the utility function approach") arguing that long-term investments </w:t>
      </w:r>
      <w:r>
        <w:rPr>
          <w:lang w:val="en-US"/>
        </w:rPr>
        <w:lastRenderedPageBreak/>
        <w:t>should not be evaluated with the aid of the conventional discounted cash flow method. Alternatively, such investments should be treated much like foreign aid</w:t>
      </w:r>
      <w:r w:rsidR="0006073B">
        <w:rPr>
          <w:lang w:val="en-US"/>
        </w:rPr>
        <w:t xml:space="preserve"> "with some of the foreigners being our own descendants who live not on another continent but in another century". Using this approach, we should treat investments as transfers of consumption from ourselves to future generations - </w:t>
      </w:r>
      <w:r w:rsidR="00577713">
        <w:rPr>
          <w:lang w:val="en-US"/>
        </w:rPr>
        <w:t xml:space="preserve">exactly </w:t>
      </w:r>
      <w:r w:rsidR="0006073B">
        <w:rPr>
          <w:lang w:val="en-US"/>
        </w:rPr>
        <w:t xml:space="preserve">as we treat foreign aid. Policy makers should then assess every investment with respect to the utility increase achieved thanks to that </w:t>
      </w:r>
      <w:r w:rsidR="00F84E92">
        <w:rPr>
          <w:lang w:val="en-US"/>
        </w:rPr>
        <w:t>investment</w:t>
      </w:r>
      <w:r w:rsidR="0006073B">
        <w:rPr>
          <w:lang w:val="en-US"/>
        </w:rPr>
        <w:t xml:space="preserve"> in every world region and time period (Schelling, 1995, pp. 397-</w:t>
      </w:r>
      <w:r w:rsidR="00F84E92">
        <w:rPr>
          <w:lang w:val="en-US"/>
        </w:rPr>
        <w:t>400).</w:t>
      </w:r>
    </w:p>
    <w:p w:rsidR="006C36C8" w:rsidRDefault="003073A1" w:rsidP="003C3156">
      <w:pPr>
        <w:rPr>
          <w:lang w:val="en-US"/>
        </w:rPr>
      </w:pPr>
      <w:r>
        <w:rPr>
          <w:lang w:val="en-US"/>
        </w:rPr>
        <w:t xml:space="preserve">However, local authorities seem to remain deaf to those </w:t>
      </w:r>
      <w:r w:rsidR="00577713">
        <w:rPr>
          <w:lang w:val="en-US"/>
        </w:rPr>
        <w:t>ideas</w:t>
      </w:r>
      <w:r>
        <w:rPr>
          <w:lang w:val="en-US"/>
        </w:rPr>
        <w:t xml:space="preserve">. As </w:t>
      </w:r>
      <w:r w:rsidR="002C7C95">
        <w:rPr>
          <w:lang w:val="en-US"/>
        </w:rPr>
        <w:t xml:space="preserve">S. </w:t>
      </w:r>
      <w:proofErr w:type="spellStart"/>
      <w:r w:rsidR="002C7C95">
        <w:rPr>
          <w:lang w:val="en-US"/>
        </w:rPr>
        <w:t>Fainstein</w:t>
      </w:r>
      <w:proofErr w:type="spellEnd"/>
      <w:r>
        <w:rPr>
          <w:lang w:val="en-US"/>
        </w:rPr>
        <w:t xml:space="preserve"> describes</w:t>
      </w:r>
      <w:r w:rsidR="002C7C95">
        <w:rPr>
          <w:lang w:val="en-US"/>
        </w:rPr>
        <w:t>, for years public projects were evaluated in terms of their effect on enhancing competitiveness, raising property values and attract</w:t>
      </w:r>
      <w:r w:rsidR="00F371CE">
        <w:rPr>
          <w:lang w:val="en-US"/>
        </w:rPr>
        <w:t>ing</w:t>
      </w:r>
      <w:r w:rsidR="002C7C95">
        <w:rPr>
          <w:lang w:val="en-US"/>
        </w:rPr>
        <w:t xml:space="preserve"> businesses and tourists (</w:t>
      </w:r>
      <w:proofErr w:type="spellStart"/>
      <w:r w:rsidR="002C7C95">
        <w:rPr>
          <w:lang w:val="en-US"/>
        </w:rPr>
        <w:t>Fainstein</w:t>
      </w:r>
      <w:proofErr w:type="spellEnd"/>
      <w:r w:rsidR="002C7C95">
        <w:rPr>
          <w:lang w:val="en-US"/>
        </w:rPr>
        <w:t xml:space="preserve">, 2010, p. 1). </w:t>
      </w:r>
      <w:proofErr w:type="spellStart"/>
      <w:r w:rsidR="002C7C95">
        <w:rPr>
          <w:lang w:val="en-US"/>
        </w:rPr>
        <w:t>Frischmann</w:t>
      </w:r>
      <w:proofErr w:type="spellEnd"/>
      <w:r w:rsidR="002C7C95">
        <w:rPr>
          <w:lang w:val="en-US"/>
        </w:rPr>
        <w:t xml:space="preserve"> puts it even in more clear words, stating that "shortsighted decision-making is prevalent in many quarters of our society". The author defines shortsightedness as basing "decisions upon expected impacts within a relatively short timeframe". (</w:t>
      </w:r>
      <w:proofErr w:type="spellStart"/>
      <w:r w:rsidR="002C7C95">
        <w:rPr>
          <w:lang w:val="en-US"/>
        </w:rPr>
        <w:t>Frischmann</w:t>
      </w:r>
      <w:proofErr w:type="spellEnd"/>
      <w:r w:rsidR="002C7C95">
        <w:rPr>
          <w:lang w:val="en-US"/>
        </w:rPr>
        <w:t>, 2005, p. 459).</w:t>
      </w:r>
      <w:r w:rsidR="00BA154D">
        <w:rPr>
          <w:lang w:val="en-US"/>
        </w:rPr>
        <w:t xml:space="preserve"> In concluding remarks </w:t>
      </w:r>
      <w:proofErr w:type="spellStart"/>
      <w:r w:rsidR="00BA154D">
        <w:rPr>
          <w:lang w:val="en-US"/>
        </w:rPr>
        <w:t>Frischmann</w:t>
      </w:r>
      <w:proofErr w:type="spellEnd"/>
      <w:r w:rsidR="00BA154D">
        <w:rPr>
          <w:lang w:val="en-US"/>
        </w:rPr>
        <w:t xml:space="preserve"> </w:t>
      </w:r>
      <w:r w:rsidR="007D6D85">
        <w:rPr>
          <w:lang w:val="en-US"/>
        </w:rPr>
        <w:t xml:space="preserve">warns </w:t>
      </w:r>
      <w:r w:rsidR="00BA154D">
        <w:rPr>
          <w:lang w:val="en-US"/>
        </w:rPr>
        <w:t xml:space="preserve">that </w:t>
      </w:r>
      <w:r w:rsidR="00BA154D">
        <w:rPr>
          <w:lang w:val="en-US"/>
        </w:rPr>
        <w:t>"myopic focus on the present - on immediate gratification (...) threatens our own future and puts our legacy, and the nation we inherited, in jeopardy".(</w:t>
      </w:r>
      <w:proofErr w:type="spellStart"/>
      <w:r w:rsidR="00BA154D">
        <w:rPr>
          <w:lang w:val="en-US"/>
        </w:rPr>
        <w:t>Frischmann</w:t>
      </w:r>
      <w:proofErr w:type="spellEnd"/>
      <w:r w:rsidR="00BA154D">
        <w:rPr>
          <w:lang w:val="en-US"/>
        </w:rPr>
        <w:t>, 2005, p. 466)</w:t>
      </w:r>
      <w:r w:rsidR="0089143D">
        <w:rPr>
          <w:lang w:val="en-US"/>
        </w:rPr>
        <w:t xml:space="preserve"> According to Harvey, community underestimates "the freedom to make and remake our cities"</w:t>
      </w:r>
      <w:r w:rsidR="007D6D85">
        <w:rPr>
          <w:lang w:val="en-US"/>
        </w:rPr>
        <w:t>, a freedom</w:t>
      </w:r>
      <w:r w:rsidR="0089143D">
        <w:rPr>
          <w:lang w:val="en-US"/>
        </w:rPr>
        <w:t xml:space="preserve"> that </w:t>
      </w:r>
      <w:r w:rsidR="007D6D85">
        <w:rPr>
          <w:lang w:val="en-US"/>
        </w:rPr>
        <w:t xml:space="preserve">is </w:t>
      </w:r>
      <w:r w:rsidR="0089143D">
        <w:rPr>
          <w:lang w:val="en-US"/>
        </w:rPr>
        <w:t xml:space="preserve">in fact is one of the most valuable human rights (Harvey, 2008, p. 315). </w:t>
      </w:r>
      <w:r w:rsidR="00410A60">
        <w:rPr>
          <w:lang w:val="en-US"/>
        </w:rPr>
        <w:t>Harvey</w:t>
      </w:r>
      <w:r w:rsidR="0089143D">
        <w:rPr>
          <w:lang w:val="en-US"/>
        </w:rPr>
        <w:t xml:space="preserve"> concluded that</w:t>
      </w:r>
      <w:r w:rsidR="007D6D85">
        <w:rPr>
          <w:lang w:val="en-US"/>
        </w:rPr>
        <w:t xml:space="preserve"> a</w:t>
      </w:r>
      <w:r w:rsidR="0089143D">
        <w:rPr>
          <w:lang w:val="en-US"/>
        </w:rPr>
        <w:t xml:space="preserve"> small economic elite adjusts cities to its egoistic needs.</w:t>
      </w:r>
      <w:r w:rsidR="00FE1C41">
        <w:rPr>
          <w:lang w:val="en-US"/>
        </w:rPr>
        <w:t xml:space="preserve"> However, </w:t>
      </w:r>
      <w:r w:rsidR="007D6D85">
        <w:rPr>
          <w:lang w:val="en-US"/>
        </w:rPr>
        <w:t>this</w:t>
      </w:r>
      <w:r w:rsidR="00FE1C41">
        <w:rPr>
          <w:lang w:val="en-US"/>
        </w:rPr>
        <w:t xml:space="preserve"> was only </w:t>
      </w:r>
      <w:r w:rsidR="007D6D85">
        <w:rPr>
          <w:lang w:val="en-US"/>
        </w:rPr>
        <w:t>a “present tense”</w:t>
      </w:r>
      <w:r w:rsidR="00FE1C41">
        <w:rPr>
          <w:lang w:val="en-US"/>
        </w:rPr>
        <w:t xml:space="preserve"> analysis, without referring to the influence on future generations' situation</w:t>
      </w:r>
      <w:r w:rsidR="00FE1C41">
        <w:rPr>
          <w:lang w:val="en-US"/>
        </w:rPr>
        <w:t>.</w:t>
      </w:r>
    </w:p>
    <w:p w:rsidR="00597847" w:rsidRDefault="003073A1" w:rsidP="003C3156">
      <w:pPr>
        <w:rPr>
          <w:lang w:val="en-US"/>
        </w:rPr>
      </w:pPr>
      <w:r>
        <w:rPr>
          <w:lang w:val="en-US"/>
        </w:rPr>
        <w:t xml:space="preserve">Apparently, the scale of </w:t>
      </w:r>
      <w:r w:rsidRPr="0089143D">
        <w:rPr>
          <w:lang w:val="en-US"/>
        </w:rPr>
        <w:t xml:space="preserve">disenchantment </w:t>
      </w:r>
      <w:r w:rsidR="007D6D85">
        <w:rPr>
          <w:lang w:val="en-US"/>
        </w:rPr>
        <w:t>with the</w:t>
      </w:r>
      <w:r w:rsidRPr="0089143D">
        <w:rPr>
          <w:lang w:val="en-US"/>
        </w:rPr>
        <w:t xml:space="preserve"> </w:t>
      </w:r>
      <w:r w:rsidRPr="0089143D">
        <w:rPr>
          <w:lang w:val="en-US"/>
        </w:rPr>
        <w:t>PPP method in the UK has been recently growing</w:t>
      </w:r>
      <w:r>
        <w:rPr>
          <w:rFonts w:cs="Times New Roman"/>
          <w:sz w:val="26"/>
          <w:szCs w:val="26"/>
          <w:lang w:val="en-US"/>
        </w:rPr>
        <w:t xml:space="preserve"> </w:t>
      </w:r>
      <w:r>
        <w:rPr>
          <w:lang w:val="en-US"/>
        </w:rPr>
        <w:t xml:space="preserve">(many </w:t>
      </w:r>
      <w:r w:rsidR="007D6D85">
        <w:rPr>
          <w:lang w:val="en-US"/>
        </w:rPr>
        <w:t xml:space="preserve">critical </w:t>
      </w:r>
      <w:r>
        <w:rPr>
          <w:lang w:val="en-US"/>
        </w:rPr>
        <w:t xml:space="preserve">reports on using PPP in road sector, health care and education). </w:t>
      </w:r>
      <w:r w:rsidR="00597847">
        <w:rPr>
          <w:lang w:val="en-US"/>
        </w:rPr>
        <w:t xml:space="preserve">In the report of Parker, a special emphasis is put on </w:t>
      </w:r>
      <w:r w:rsidR="00955170">
        <w:rPr>
          <w:lang w:val="en-US"/>
        </w:rPr>
        <w:t>PPP-style</w:t>
      </w:r>
      <w:r w:rsidR="00597847">
        <w:rPr>
          <w:lang w:val="en-US"/>
        </w:rPr>
        <w:t xml:space="preserve"> contracts signed in the UK over the past 20 years. According to the author, over 860 </w:t>
      </w:r>
      <w:r w:rsidR="00955170">
        <w:rPr>
          <w:lang w:val="en-US"/>
        </w:rPr>
        <w:t xml:space="preserve">PPP </w:t>
      </w:r>
      <w:r w:rsidR="00597847">
        <w:rPr>
          <w:lang w:val="en-US"/>
        </w:rPr>
        <w:t>UK contracts</w:t>
      </w:r>
      <w:r w:rsidR="00A40599">
        <w:rPr>
          <w:lang w:val="en-US"/>
        </w:rPr>
        <w:t xml:space="preserve"> have</w:t>
      </w:r>
      <w:r w:rsidR="00597847">
        <w:rPr>
          <w:lang w:val="en-US"/>
        </w:rPr>
        <w:t xml:space="preserve"> result</w:t>
      </w:r>
      <w:r w:rsidR="00A40599">
        <w:rPr>
          <w:lang w:val="en-US"/>
        </w:rPr>
        <w:t>ed</w:t>
      </w:r>
      <w:r w:rsidR="00597847">
        <w:rPr>
          <w:lang w:val="en-US"/>
        </w:rPr>
        <w:t xml:space="preserve"> in liabilities of 239 billion pounds, </w:t>
      </w:r>
      <w:r w:rsidR="00A40599">
        <w:rPr>
          <w:lang w:val="en-US"/>
        </w:rPr>
        <w:t xml:space="preserve"> a burden </w:t>
      </w:r>
      <w:r w:rsidR="00597847">
        <w:rPr>
          <w:lang w:val="en-US"/>
        </w:rPr>
        <w:t>put on future generations.</w:t>
      </w:r>
      <w:r w:rsidR="00A40599">
        <w:rPr>
          <w:lang w:val="en-US"/>
        </w:rPr>
        <w:t xml:space="preserve"> </w:t>
      </w:r>
      <w:r w:rsidR="00597847">
        <w:rPr>
          <w:lang w:val="en-US"/>
        </w:rPr>
        <w:t>Parker's attitude towards PPP/PFI method is very critical</w:t>
      </w:r>
      <w:r w:rsidR="00A40599">
        <w:rPr>
          <w:lang w:val="en-US"/>
        </w:rPr>
        <w:t xml:space="preserve"> - - for example,</w:t>
      </w:r>
      <w:r w:rsidR="00597847">
        <w:rPr>
          <w:lang w:val="en-US"/>
        </w:rPr>
        <w:t xml:space="preserve"> </w:t>
      </w:r>
      <w:r w:rsidR="00597847">
        <w:rPr>
          <w:lang w:val="en-US"/>
        </w:rPr>
        <w:t xml:space="preserve">the author concludes that the use of PFIs is "highly questionable" because, according to his study, this tool does not provide any significant advantages (as compared to direct public funding) such as superior delivery, lower life-time costs, effective risk transfer or quality of provision. However, Parker suggests </w:t>
      </w:r>
      <w:r w:rsidR="00597847">
        <w:rPr>
          <w:lang w:val="en-US"/>
        </w:rPr>
        <w:t xml:space="preserve">some remedies that could help to place more of the liability on current taxpayers, namely the refinancing and creation of a </w:t>
      </w:r>
      <w:r w:rsidR="00872731">
        <w:rPr>
          <w:lang w:val="en-US"/>
        </w:rPr>
        <w:t xml:space="preserve">special </w:t>
      </w:r>
      <w:r w:rsidR="00597847">
        <w:rPr>
          <w:lang w:val="en-US"/>
        </w:rPr>
        <w:t>fund</w:t>
      </w:r>
      <w:r w:rsidR="00872731">
        <w:rPr>
          <w:lang w:val="en-US"/>
        </w:rPr>
        <w:t xml:space="preserve"> dedicated to PF</w:t>
      </w:r>
      <w:r w:rsidR="00E44706">
        <w:rPr>
          <w:lang w:val="en-US"/>
        </w:rPr>
        <w:t>I</w:t>
      </w:r>
      <w:r w:rsidR="00872731">
        <w:rPr>
          <w:lang w:val="en-US"/>
        </w:rPr>
        <w:t xml:space="preserve"> debt repayments</w:t>
      </w:r>
      <w:r w:rsidR="00A40599">
        <w:rPr>
          <w:lang w:val="en-US"/>
        </w:rPr>
        <w:t>, to which c</w:t>
      </w:r>
      <w:r w:rsidR="00872731">
        <w:rPr>
          <w:lang w:val="en-US"/>
        </w:rPr>
        <w:t>urrent taxpayers would make annual contributions. (Parker, 2012, pp. 39-41)</w:t>
      </w:r>
      <w:r>
        <w:rPr>
          <w:lang w:val="en-US"/>
        </w:rPr>
        <w:t xml:space="preserve"> Those remedies are not eas</w:t>
      </w:r>
      <w:r w:rsidR="00A40599">
        <w:rPr>
          <w:lang w:val="en-US"/>
        </w:rPr>
        <w:t xml:space="preserve">ily </w:t>
      </w:r>
      <w:r>
        <w:rPr>
          <w:lang w:val="en-US"/>
        </w:rPr>
        <w:t>applicable to the Polish case</w:t>
      </w:r>
      <w:r w:rsidR="00A40599">
        <w:rPr>
          <w:lang w:val="en-US"/>
        </w:rPr>
        <w:t>,</w:t>
      </w:r>
      <w:r>
        <w:rPr>
          <w:lang w:val="en-US"/>
        </w:rPr>
        <w:t xml:space="preserve"> as the vast majority of Polish PPP projects are undertaken by local municipalities that are not entitled </w:t>
      </w:r>
      <w:r>
        <w:rPr>
          <w:lang w:val="en-US"/>
        </w:rPr>
        <w:t xml:space="preserve">to </w:t>
      </w:r>
      <w:r w:rsidR="00677A6D">
        <w:rPr>
          <w:lang w:val="en-US"/>
        </w:rPr>
        <w:t>impose taxes</w:t>
      </w:r>
      <w:r w:rsidR="001E63A8">
        <w:rPr>
          <w:rStyle w:val="Odwoanieprzypisukocowego"/>
          <w:lang w:val="en-US"/>
        </w:rPr>
        <w:endnoteReference w:id="1"/>
      </w:r>
      <w:r w:rsidR="00677A6D">
        <w:rPr>
          <w:lang w:val="en-US"/>
        </w:rPr>
        <w:t xml:space="preserve"> on their local citizens. </w:t>
      </w:r>
    </w:p>
    <w:p w:rsidR="003073A1" w:rsidRDefault="008E1849" w:rsidP="008E1849">
      <w:pPr>
        <w:rPr>
          <w:lang w:val="en-US"/>
        </w:rPr>
      </w:pPr>
      <w:r>
        <w:rPr>
          <w:lang w:val="en-US"/>
        </w:rPr>
        <w:t xml:space="preserve">In a similar vein, </w:t>
      </w:r>
      <w:proofErr w:type="spellStart"/>
      <w:r>
        <w:rPr>
          <w:lang w:val="en-US"/>
        </w:rPr>
        <w:t>Shaoul</w:t>
      </w:r>
      <w:proofErr w:type="spellEnd"/>
      <w:r>
        <w:rPr>
          <w:lang w:val="en-US"/>
        </w:rPr>
        <w:t xml:space="preserve"> at al., draw conclusions from the analyses of </w:t>
      </w:r>
      <w:r w:rsidR="00955170">
        <w:rPr>
          <w:lang w:val="en-US"/>
        </w:rPr>
        <w:t>PPP-style</w:t>
      </w:r>
      <w:r>
        <w:rPr>
          <w:lang w:val="en-US"/>
        </w:rPr>
        <w:t xml:space="preserve"> contracts in road infrastructure in the UK, stating that risk transfer (supposed to be achieved by using PPP schemes) does not come cheap</w:t>
      </w:r>
      <w:r w:rsidR="00955170" w:rsidRPr="00955170">
        <w:rPr>
          <w:lang w:val="en-US"/>
        </w:rPr>
        <w:t>l</w:t>
      </w:r>
      <w:r w:rsidR="00955170">
        <w:rPr>
          <w:lang w:val="en-US"/>
        </w:rPr>
        <w:t>y</w:t>
      </w:r>
      <w:r>
        <w:rPr>
          <w:lang w:val="en-US"/>
        </w:rPr>
        <w:t xml:space="preserve">: the state had to pay 25% of construction costs to get the roads built </w:t>
      </w:r>
      <w:r w:rsidR="00A40599">
        <w:rPr>
          <w:lang w:val="en-US"/>
        </w:rPr>
        <w:t xml:space="preserve">on </w:t>
      </w:r>
      <w:r>
        <w:rPr>
          <w:lang w:val="en-US"/>
        </w:rPr>
        <w:t xml:space="preserve">time and </w:t>
      </w:r>
      <w:r w:rsidR="00A40599">
        <w:rPr>
          <w:lang w:val="en-US"/>
        </w:rPr>
        <w:t xml:space="preserve">within </w:t>
      </w:r>
      <w:r>
        <w:rPr>
          <w:lang w:val="en-US"/>
        </w:rPr>
        <w:t xml:space="preserve">budget </w:t>
      </w:r>
      <w:r w:rsidR="00A40599">
        <w:rPr>
          <w:lang w:val="en-US"/>
        </w:rPr>
        <w:t xml:space="preserve">using </w:t>
      </w:r>
      <w:r>
        <w:rPr>
          <w:lang w:val="en-US"/>
        </w:rPr>
        <w:t xml:space="preserve">DBFO </w:t>
      </w:r>
      <w:r w:rsidR="00955170">
        <w:rPr>
          <w:lang w:val="en-US"/>
        </w:rPr>
        <w:t xml:space="preserve">(design, build, finance, operate) </w:t>
      </w:r>
      <w:r>
        <w:rPr>
          <w:lang w:val="en-US"/>
        </w:rPr>
        <w:t xml:space="preserve">schemes. The authors suggest that the government could </w:t>
      </w:r>
      <w:r w:rsidR="00A40599">
        <w:rPr>
          <w:lang w:val="en-US"/>
        </w:rPr>
        <w:t xml:space="preserve">have equally well </w:t>
      </w:r>
      <w:r>
        <w:rPr>
          <w:lang w:val="en-US"/>
        </w:rPr>
        <w:t>incentivize</w:t>
      </w:r>
      <w:r w:rsidR="00A40599">
        <w:rPr>
          <w:lang w:val="en-US"/>
        </w:rPr>
        <w:t>d</w:t>
      </w:r>
      <w:r>
        <w:rPr>
          <w:lang w:val="en-US"/>
        </w:rPr>
        <w:t xml:space="preserve"> the construction companies to construct roads without a PPP scheme, in a timely manner and sticking to the budget. Furthermore, the cooperation with private partners may result in new risks (</w:t>
      </w:r>
      <w:proofErr w:type="spellStart"/>
      <w:r>
        <w:rPr>
          <w:lang w:val="en-US"/>
        </w:rPr>
        <w:t>Shaoul</w:t>
      </w:r>
      <w:proofErr w:type="spellEnd"/>
      <w:r>
        <w:rPr>
          <w:lang w:val="en-US"/>
        </w:rPr>
        <w:t xml:space="preserve"> et al, 2006, p. 271)</w:t>
      </w:r>
      <w:r w:rsidR="001E63A8">
        <w:rPr>
          <w:lang w:val="en-US"/>
        </w:rPr>
        <w:t>.</w:t>
      </w:r>
      <w:r w:rsidR="003073A1">
        <w:rPr>
          <w:lang w:val="en-US"/>
        </w:rPr>
        <w:t xml:space="preserve"> </w:t>
      </w:r>
    </w:p>
    <w:p w:rsidR="00D142AA" w:rsidRPr="004B3027" w:rsidRDefault="00D142AA" w:rsidP="00D142AA">
      <w:pPr>
        <w:rPr>
          <w:lang w:val="en-CA"/>
        </w:rPr>
      </w:pPr>
      <w:r w:rsidRPr="00D142AA">
        <w:rPr>
          <w:lang w:val="en-CA"/>
        </w:rPr>
        <w:t>Building on Hart comments, it is important to emph</w:t>
      </w:r>
      <w:r>
        <w:rPr>
          <w:lang w:val="en-CA"/>
        </w:rPr>
        <w:t>asize that the central issue while discussing PPP is not its financial aspect but its contracting costs. Hart's analysis supports the idea that PPP contracts are typically incomplete and that "the model suggests that the choice between PPPs and conventional provision turns on whether it is easier to write contracts on service provision than on building provision."(Hart, 2003, pp. C74-75).</w:t>
      </w:r>
    </w:p>
    <w:p w:rsidR="00872731" w:rsidRDefault="008E1849" w:rsidP="003C3156">
      <w:pPr>
        <w:rPr>
          <w:lang w:val="en-US"/>
        </w:rPr>
      </w:pPr>
      <w:r>
        <w:rPr>
          <w:lang w:val="en-US"/>
        </w:rPr>
        <w:lastRenderedPageBreak/>
        <w:t>The Parker</w:t>
      </w:r>
      <w:r w:rsidR="00E44706">
        <w:rPr>
          <w:lang w:val="en-US"/>
        </w:rPr>
        <w:t xml:space="preserve"> report is </w:t>
      </w:r>
      <w:proofErr w:type="spellStart"/>
      <w:r w:rsidR="00E44706">
        <w:rPr>
          <w:lang w:val="en-US"/>
        </w:rPr>
        <w:t>foreworded</w:t>
      </w:r>
      <w:proofErr w:type="spellEnd"/>
      <w:r w:rsidR="00E44706">
        <w:rPr>
          <w:lang w:val="en-US"/>
        </w:rPr>
        <w:t xml:space="preserve"> by M. Hodge, who underlines that public authorities cannot tie future generations' hands "by saddling them with debts and service agreements thirty or forty years into the future". (Parker, 2012, p. 3)</w:t>
      </w:r>
      <w:r w:rsidR="008F54FF">
        <w:rPr>
          <w:lang w:val="en-US"/>
        </w:rPr>
        <w:t xml:space="preserve"> How does this statement relate to the Polish case, </w:t>
      </w:r>
      <w:r w:rsidR="002F42AB">
        <w:rPr>
          <w:lang w:val="en-US"/>
        </w:rPr>
        <w:t>a</w:t>
      </w:r>
      <w:r w:rsidR="008F54FF">
        <w:rPr>
          <w:lang w:val="en-US"/>
        </w:rPr>
        <w:t xml:space="preserve"> country affected by a significant infrastructure gap that needs to be reduced in the years to come? Are the remarks presented above valid in every economic situation and every nation? Or perhaps the Polish case is so different that the future generations' needs may be ignored for the sake of the </w:t>
      </w:r>
      <w:r w:rsidR="002F42AB">
        <w:rPr>
          <w:lang w:val="en-US"/>
        </w:rPr>
        <w:t>present</w:t>
      </w:r>
      <w:r w:rsidR="008F54FF">
        <w:rPr>
          <w:lang w:val="en-US"/>
        </w:rPr>
        <w:t xml:space="preserve">? Those questions are to be examined in next sections of the </w:t>
      </w:r>
      <w:r w:rsidR="008F54FF">
        <w:rPr>
          <w:lang w:val="en-US"/>
        </w:rPr>
        <w:t>paper.</w:t>
      </w:r>
    </w:p>
    <w:p w:rsidR="003C3156" w:rsidRDefault="00563E21" w:rsidP="003C3156">
      <w:pPr>
        <w:pStyle w:val="Nagwek2"/>
        <w:rPr>
          <w:lang w:val="en-US"/>
        </w:rPr>
      </w:pPr>
      <w:r>
        <w:rPr>
          <w:lang w:val="en-US"/>
        </w:rPr>
        <w:t xml:space="preserve">3. </w:t>
      </w:r>
      <w:r w:rsidR="003073A1">
        <w:rPr>
          <w:lang w:val="en-US"/>
        </w:rPr>
        <w:t>Discussion: the case of Poland</w:t>
      </w:r>
    </w:p>
    <w:p w:rsidR="008E1849" w:rsidRDefault="008E1849" w:rsidP="008106CA">
      <w:pPr>
        <w:pStyle w:val="Nagwek3"/>
        <w:rPr>
          <w:lang w:val="en-GB"/>
        </w:rPr>
      </w:pPr>
      <w:r>
        <w:rPr>
          <w:lang w:val="en-GB"/>
        </w:rPr>
        <w:t>Poland at t</w:t>
      </w:r>
      <w:r w:rsidRPr="008106CA">
        <w:t>h</w:t>
      </w:r>
      <w:r>
        <w:rPr>
          <w:lang w:val="en-GB"/>
        </w:rPr>
        <w:t>e starting point of 1989</w:t>
      </w:r>
    </w:p>
    <w:p w:rsidR="00C87F39" w:rsidRDefault="00C87F39" w:rsidP="00C87F39">
      <w:pPr>
        <w:rPr>
          <w:lang w:val="en-GB"/>
        </w:rPr>
      </w:pPr>
      <w:r>
        <w:rPr>
          <w:lang w:val="en-GB"/>
        </w:rPr>
        <w:t xml:space="preserve">In the centrally planned economy, </w:t>
      </w:r>
      <w:r w:rsidR="0062683B">
        <w:rPr>
          <w:lang w:val="en-GB"/>
        </w:rPr>
        <w:t xml:space="preserve">up until 1989, </w:t>
      </w:r>
      <w:r>
        <w:rPr>
          <w:lang w:val="en-GB"/>
        </w:rPr>
        <w:t xml:space="preserve">the infrastructure was adjusted, often with delays and often behind schedule, to needs resulting from the development of the other components of </w:t>
      </w:r>
      <w:r w:rsidR="0062683B">
        <w:rPr>
          <w:lang w:val="en-GB"/>
        </w:rPr>
        <w:t xml:space="preserve">the </w:t>
      </w:r>
      <w:r>
        <w:rPr>
          <w:lang w:val="en-GB"/>
        </w:rPr>
        <w:t xml:space="preserve">social system. </w:t>
      </w:r>
      <w:r w:rsidR="008E1849">
        <w:rPr>
          <w:lang w:val="en-GB"/>
        </w:rPr>
        <w:t>(</w:t>
      </w:r>
      <w:proofErr w:type="spellStart"/>
      <w:r w:rsidR="008E1849">
        <w:rPr>
          <w:lang w:val="en-GB"/>
        </w:rPr>
        <w:t>Wojewódzka-Król</w:t>
      </w:r>
      <w:proofErr w:type="spellEnd"/>
      <w:r w:rsidR="008E1849">
        <w:rPr>
          <w:lang w:val="en-GB"/>
        </w:rPr>
        <w:t>, 2000, p. 10)</w:t>
      </w:r>
      <w:r>
        <w:rPr>
          <w:lang w:val="en-GB"/>
        </w:rPr>
        <w:t xml:space="preserve">. Infrastructure investments were perceived as inevitable, but not particularly desirable, since they limited directly productive expenditures. Central authorities were concentrating on default management and on solving fragmentary problems, activities not favourable to development of infrastructure, which requires of long-term planning. On the other hand, economic units (companies), operating within the narrow calculations of expenditures and effects, were indifferent to the negative outside effects of their activity, e.g. the degradation of </w:t>
      </w:r>
      <w:r w:rsidR="0062683B">
        <w:rPr>
          <w:lang w:val="en-GB"/>
        </w:rPr>
        <w:t xml:space="preserve">the </w:t>
      </w:r>
      <w:r>
        <w:rPr>
          <w:lang w:val="en-GB"/>
        </w:rPr>
        <w:t>environment. The estimation of effect through the prism of borne expenditure led to the maximisation of consumption of infrastructure’s services. It follows that in a centrally planned economy a striking discrepancy exists between the tendency to limit development of infrastructure and the increase in demand on its services</w:t>
      </w:r>
      <w:r w:rsidR="008F54FF">
        <w:rPr>
          <w:lang w:val="en-GB"/>
        </w:rPr>
        <w:t>.</w:t>
      </w:r>
    </w:p>
    <w:p w:rsidR="00C87F39" w:rsidRDefault="00C87F39" w:rsidP="00C87F39">
      <w:pPr>
        <w:rPr>
          <w:lang w:val="en-GB"/>
        </w:rPr>
      </w:pPr>
      <w:r>
        <w:rPr>
          <w:lang w:val="en-GB"/>
        </w:rPr>
        <w:t xml:space="preserve">Even some Polish definitions of infrastructure, coming from the sixties and seventies, gave voice to such neglecting treatment of infrastructure. </w:t>
      </w:r>
      <w:r w:rsidR="0062683B">
        <w:rPr>
          <w:lang w:val="en-GB"/>
        </w:rPr>
        <w:t>For example</w:t>
      </w:r>
      <w:r>
        <w:rPr>
          <w:lang w:val="en-GB"/>
        </w:rPr>
        <w:t xml:space="preserve">, the term was described as “devices necessary for proper functioning of </w:t>
      </w:r>
      <w:r>
        <w:rPr>
          <w:u w:val="single"/>
          <w:lang w:val="en-GB"/>
        </w:rPr>
        <w:t>productive</w:t>
      </w:r>
      <w:r>
        <w:rPr>
          <w:lang w:val="en-GB"/>
        </w:rPr>
        <w:t xml:space="preserve"> segments of the economy.”</w:t>
      </w:r>
      <w:r w:rsidR="008F54FF">
        <w:rPr>
          <w:lang w:val="en-GB"/>
        </w:rPr>
        <w:t xml:space="preserve"> (</w:t>
      </w:r>
      <w:proofErr w:type="spellStart"/>
      <w:r w:rsidR="008F54FF">
        <w:rPr>
          <w:lang w:val="en-GB"/>
        </w:rPr>
        <w:t>Kopalinski</w:t>
      </w:r>
      <w:proofErr w:type="spellEnd"/>
      <w:r w:rsidR="008F54FF">
        <w:rPr>
          <w:lang w:val="en-GB"/>
        </w:rPr>
        <w:t xml:space="preserve"> 1975, p. 430)</w:t>
      </w:r>
      <w:r>
        <w:rPr>
          <w:lang w:val="en-GB"/>
        </w:rPr>
        <w:t xml:space="preserve"> In this approach, providing for social needs </w:t>
      </w:r>
      <w:r w:rsidR="0062683B">
        <w:rPr>
          <w:lang w:val="en-GB"/>
        </w:rPr>
        <w:t xml:space="preserve">via </w:t>
      </w:r>
      <w:r>
        <w:rPr>
          <w:lang w:val="en-GB"/>
        </w:rPr>
        <w:t xml:space="preserve">infrastructure is not even mentioned. </w:t>
      </w:r>
    </w:p>
    <w:p w:rsidR="00000000" w:rsidRDefault="00C87F39">
      <w:pPr>
        <w:rPr>
          <w:lang w:val="en-GB"/>
        </w:rPr>
      </w:pPr>
      <w:r>
        <w:rPr>
          <w:lang w:val="en-GB"/>
        </w:rPr>
        <w:t xml:space="preserve">Thus, Poland began the transformation in 1989 having </w:t>
      </w:r>
      <w:r w:rsidR="0062683B">
        <w:rPr>
          <w:lang w:val="en-GB"/>
        </w:rPr>
        <w:t xml:space="preserve">poorly-developed </w:t>
      </w:r>
      <w:r>
        <w:rPr>
          <w:lang w:val="en-GB"/>
        </w:rPr>
        <w:t>infrastructure</w:t>
      </w:r>
      <w:r w:rsidR="0062683B">
        <w:rPr>
          <w:lang w:val="en-GB"/>
        </w:rPr>
        <w:t xml:space="preserve">, </w:t>
      </w:r>
      <w:r>
        <w:rPr>
          <w:lang w:val="en-GB"/>
        </w:rPr>
        <w:t xml:space="preserve">with its development subordinated essentially for needs of relocating goods </w:t>
      </w:r>
      <w:r>
        <w:rPr>
          <w:i/>
          <w:lang w:val="en-GB"/>
        </w:rPr>
        <w:t>en mass</w:t>
      </w:r>
      <w:r>
        <w:rPr>
          <w:lang w:val="en-GB"/>
        </w:rPr>
        <w:t xml:space="preserve">, </w:t>
      </w:r>
      <w:r w:rsidR="0062683B">
        <w:rPr>
          <w:lang w:val="en-GB"/>
        </w:rPr>
        <w:t>its</w:t>
      </w:r>
      <w:r>
        <w:rPr>
          <w:lang w:val="en-GB"/>
        </w:rPr>
        <w:t xml:space="preserve"> operation based on monopolistic institutions, </w:t>
      </w:r>
      <w:r w:rsidR="0062683B">
        <w:rPr>
          <w:lang w:val="en-GB"/>
        </w:rPr>
        <w:t xml:space="preserve">and </w:t>
      </w:r>
      <w:r>
        <w:rPr>
          <w:lang w:val="en-GB"/>
        </w:rPr>
        <w:t>in the sphere of international links reflecting the centralized character of the whole system - with domination by the former USRR</w:t>
      </w:r>
      <w:r w:rsidR="008F54FF">
        <w:rPr>
          <w:lang w:val="en-GB"/>
        </w:rPr>
        <w:t xml:space="preserve"> (</w:t>
      </w:r>
      <w:proofErr w:type="spellStart"/>
      <w:r w:rsidR="008F54FF">
        <w:rPr>
          <w:lang w:val="en-GB"/>
        </w:rPr>
        <w:t>Ratajczak</w:t>
      </w:r>
      <w:proofErr w:type="spellEnd"/>
      <w:r w:rsidR="008F54FF">
        <w:rPr>
          <w:lang w:val="en-GB"/>
        </w:rPr>
        <w:t>, 1999, p. 168)</w:t>
      </w:r>
      <w:r w:rsidR="009C7121">
        <w:rPr>
          <w:lang w:val="en-GB"/>
        </w:rPr>
        <w:t>.</w:t>
      </w:r>
    </w:p>
    <w:p w:rsidR="00C87F39" w:rsidRDefault="00C87F39" w:rsidP="00C87F39">
      <w:pPr>
        <w:rPr>
          <w:lang w:val="en-GB"/>
        </w:rPr>
      </w:pPr>
      <w:r>
        <w:rPr>
          <w:lang w:val="en-GB"/>
        </w:rPr>
        <w:t xml:space="preserve">The membership of Poland in the EU significantly enlarged the possibilities of profiting from loans and guarantees provided by the European Investment Bank and from European structural funds. Nowadays, </w:t>
      </w:r>
      <w:r w:rsidR="0062683B">
        <w:rPr>
          <w:lang w:val="en-GB"/>
        </w:rPr>
        <w:t xml:space="preserve">after </w:t>
      </w:r>
      <w:r>
        <w:rPr>
          <w:lang w:val="en-GB"/>
        </w:rPr>
        <w:t xml:space="preserve">over ten years of being a </w:t>
      </w:r>
      <w:r w:rsidR="00577713">
        <w:rPr>
          <w:lang w:val="en-GB"/>
        </w:rPr>
        <w:t xml:space="preserve">EU funds </w:t>
      </w:r>
      <w:r>
        <w:rPr>
          <w:lang w:val="en-GB"/>
        </w:rPr>
        <w:t xml:space="preserve">beneficiary, Poland is </w:t>
      </w:r>
      <w:r w:rsidR="00577713">
        <w:rPr>
          <w:lang w:val="en-GB"/>
        </w:rPr>
        <w:t xml:space="preserve">still </w:t>
      </w:r>
      <w:r>
        <w:rPr>
          <w:lang w:val="en-GB"/>
        </w:rPr>
        <w:t>at the phase of "trying to catch up" with</w:t>
      </w:r>
      <w:r w:rsidR="0062683B">
        <w:rPr>
          <w:lang w:val="en-GB"/>
        </w:rPr>
        <w:t xml:space="preserve"> a</w:t>
      </w:r>
      <w:r>
        <w:rPr>
          <w:lang w:val="en-GB"/>
        </w:rPr>
        <w:t xml:space="preserve"> Western-European level of infrastructure provision. For that reason, local authorities focus mainly on growth-promoting policies and </w:t>
      </w:r>
      <w:r w:rsidR="0062683B">
        <w:rPr>
          <w:lang w:val="en-GB"/>
        </w:rPr>
        <w:t xml:space="preserve">often </w:t>
      </w:r>
      <w:r>
        <w:rPr>
          <w:lang w:val="en-GB"/>
        </w:rPr>
        <w:t>omit the other important factors such as social justice or intergenerational responsibility for public investments.</w:t>
      </w:r>
    </w:p>
    <w:p w:rsidR="00C87F39" w:rsidRPr="00C87F39" w:rsidRDefault="005E67B6" w:rsidP="00563E21">
      <w:pPr>
        <w:pStyle w:val="Nagwek3"/>
        <w:rPr>
          <w:lang w:val="en-GB"/>
        </w:rPr>
      </w:pPr>
      <w:r>
        <w:rPr>
          <w:lang w:val="en-GB"/>
        </w:rPr>
        <w:t>Polish experience with PPPs</w:t>
      </w:r>
    </w:p>
    <w:p w:rsidR="0076093A" w:rsidRDefault="003C3156" w:rsidP="003C3156">
      <w:pPr>
        <w:rPr>
          <w:lang w:val="en-US"/>
        </w:rPr>
      </w:pPr>
      <w:r w:rsidRPr="00FD6EB8">
        <w:rPr>
          <w:lang w:val="en-GB"/>
        </w:rPr>
        <w:t>According to the official</w:t>
      </w:r>
      <w:r>
        <w:rPr>
          <w:lang w:val="en-GB"/>
        </w:rPr>
        <w:t xml:space="preserve"> database of the Ministry of Economy, there were </w:t>
      </w:r>
      <w:r w:rsidR="00C24BFC">
        <w:rPr>
          <w:lang w:val="en-GB"/>
        </w:rPr>
        <w:t>82</w:t>
      </w:r>
      <w:r>
        <w:rPr>
          <w:lang w:val="en-GB"/>
        </w:rPr>
        <w:t xml:space="preserve"> realised </w:t>
      </w:r>
      <w:r w:rsidR="0062683B">
        <w:rPr>
          <w:lang w:val="en-GB"/>
        </w:rPr>
        <w:t xml:space="preserve">PPP </w:t>
      </w:r>
      <w:r>
        <w:rPr>
          <w:lang w:val="en-GB"/>
        </w:rPr>
        <w:t xml:space="preserve">projects in Poland (as of </w:t>
      </w:r>
      <w:r w:rsidR="00ED3585">
        <w:rPr>
          <w:lang w:val="en-GB"/>
        </w:rPr>
        <w:t xml:space="preserve">December </w:t>
      </w:r>
      <w:r>
        <w:rPr>
          <w:lang w:val="en-GB"/>
        </w:rPr>
        <w:t>2014)</w:t>
      </w:r>
      <w:r w:rsidR="00577713">
        <w:rPr>
          <w:lang w:val="en-GB"/>
        </w:rPr>
        <w:t xml:space="preserve"> but only around 50 PPP contracts reached the construction phase, and about 15 are in operation</w:t>
      </w:r>
      <w:r w:rsidR="0076093A">
        <w:rPr>
          <w:lang w:val="en-GB"/>
        </w:rPr>
        <w:t xml:space="preserve"> (see Figure 1)</w:t>
      </w:r>
      <w:r>
        <w:rPr>
          <w:lang w:val="en-GB"/>
        </w:rPr>
        <w:t>. There were also 125 PPP concepts registered in the database. However, the number of 77 projects is not identical with either the number of signed PPP contracts or the number of projects with financial closure. Around 63% of PPP contract proposals end</w:t>
      </w:r>
      <w:r w:rsidR="00577713">
        <w:rPr>
          <w:color w:val="FFFFFF" w:themeColor="background1"/>
          <w:lang w:val="en-GB"/>
        </w:rPr>
        <w:t xml:space="preserve"> </w:t>
      </w:r>
      <w:r>
        <w:rPr>
          <w:lang w:val="en-GB"/>
        </w:rPr>
        <w:t>up being cancelled</w:t>
      </w:r>
      <w:r w:rsidR="00577713">
        <w:rPr>
          <w:lang w:val="en-GB"/>
        </w:rPr>
        <w:t xml:space="preserve"> (</w:t>
      </w:r>
      <w:proofErr w:type="spellStart"/>
      <w:r w:rsidR="00577713">
        <w:rPr>
          <w:lang w:val="en-GB"/>
        </w:rPr>
        <w:t>Raport</w:t>
      </w:r>
      <w:proofErr w:type="spellEnd"/>
      <w:r w:rsidR="00577713">
        <w:rPr>
          <w:lang w:val="en-GB"/>
        </w:rPr>
        <w:t xml:space="preserve"> 2013, p</w:t>
      </w:r>
      <w:r>
        <w:rPr>
          <w:lang w:val="en-GB"/>
        </w:rPr>
        <w:t>.</w:t>
      </w:r>
      <w:r w:rsidR="00577713">
        <w:rPr>
          <w:lang w:val="en-GB"/>
        </w:rPr>
        <w:t>19</w:t>
      </w:r>
      <w:r w:rsidR="0076093A">
        <w:rPr>
          <w:lang w:val="en-GB"/>
        </w:rPr>
        <w:t>;</w:t>
      </w:r>
      <w:r w:rsidR="00ED3585">
        <w:rPr>
          <w:lang w:val="en-GB"/>
        </w:rPr>
        <w:t xml:space="preserve"> </w:t>
      </w:r>
      <w:proofErr w:type="spellStart"/>
      <w:r w:rsidR="00ED3585">
        <w:rPr>
          <w:lang w:val="en-GB"/>
        </w:rPr>
        <w:t>Raport</w:t>
      </w:r>
      <w:proofErr w:type="spellEnd"/>
      <w:r w:rsidR="00ED3585">
        <w:rPr>
          <w:lang w:val="en-GB"/>
        </w:rPr>
        <w:t xml:space="preserve"> 2015, p. 4</w:t>
      </w:r>
      <w:r w:rsidR="00577713">
        <w:rPr>
          <w:lang w:val="en-GB"/>
        </w:rPr>
        <w:t>).</w:t>
      </w:r>
      <w:r>
        <w:rPr>
          <w:lang w:val="en-GB"/>
        </w:rPr>
        <w:t xml:space="preserve">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76093A" w:rsidTr="0076093A">
        <w:tc>
          <w:tcPr>
            <w:tcW w:w="9212" w:type="dxa"/>
          </w:tcPr>
          <w:p w:rsidR="0076093A" w:rsidRDefault="0076093A" w:rsidP="0076093A">
            <w:pPr>
              <w:jc w:val="center"/>
              <w:rPr>
                <w:lang w:val="en-US"/>
              </w:rPr>
            </w:pPr>
            <w:r w:rsidRPr="0076093A">
              <w:rPr>
                <w:noProof/>
                <w:lang w:eastAsia="pl-PL"/>
              </w:rPr>
              <w:lastRenderedPageBreak/>
              <w:drawing>
                <wp:inline distT="0" distB="0" distL="0" distR="0">
                  <wp:extent cx="4055165" cy="2520563"/>
                  <wp:effectExtent l="0" t="0" r="0" b="0"/>
                  <wp:docPr id="2" name="Wykres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r>
      <w:tr w:rsidR="0076093A" w:rsidRPr="0076093A" w:rsidTr="0076093A">
        <w:tc>
          <w:tcPr>
            <w:tcW w:w="9212" w:type="dxa"/>
          </w:tcPr>
          <w:p w:rsidR="008106CA" w:rsidRDefault="0076093A" w:rsidP="0009188E">
            <w:pPr>
              <w:rPr>
                <w:lang w:val="en-US"/>
              </w:rPr>
            </w:pPr>
            <w:r>
              <w:rPr>
                <w:lang w:val="en-US"/>
              </w:rPr>
              <w:t>Figure 1. PPP contracts signed in Poland 1.01.2009-31.12.2014, with regard to sector</w:t>
            </w:r>
            <w:r w:rsidR="00061765">
              <w:rPr>
                <w:lang w:val="en-US"/>
              </w:rPr>
              <w:t xml:space="preserve">.  </w:t>
            </w:r>
          </w:p>
          <w:p w:rsidR="008106CA" w:rsidRDefault="008106CA" w:rsidP="0009188E">
            <w:pPr>
              <w:rPr>
                <w:lang w:val="en-US"/>
              </w:rPr>
            </w:pPr>
          </w:p>
          <w:p w:rsidR="0076093A" w:rsidRPr="008106CA" w:rsidRDefault="0076093A" w:rsidP="0009188E">
            <w:pPr>
              <w:rPr>
                <w:sz w:val="20"/>
                <w:szCs w:val="20"/>
              </w:rPr>
            </w:pPr>
            <w:r w:rsidRPr="008106CA">
              <w:rPr>
                <w:sz w:val="20"/>
                <w:szCs w:val="20"/>
                <w:lang w:val="en-US"/>
              </w:rPr>
              <w:t xml:space="preserve">Source: prepared by author, based on: </w:t>
            </w:r>
            <w:proofErr w:type="spellStart"/>
            <w:r w:rsidRPr="008106CA">
              <w:rPr>
                <w:rFonts w:eastAsia="Calibri" w:cs="Times New Roman"/>
                <w:i/>
                <w:sz w:val="20"/>
                <w:szCs w:val="20"/>
                <w:lang w:val="en-US"/>
              </w:rPr>
              <w:t>Raport</w:t>
            </w:r>
            <w:proofErr w:type="spellEnd"/>
            <w:r w:rsidRPr="008106CA">
              <w:rPr>
                <w:rFonts w:eastAsia="Calibri" w:cs="Times New Roman"/>
                <w:i/>
                <w:sz w:val="20"/>
                <w:szCs w:val="20"/>
                <w:lang w:val="en-US"/>
              </w:rPr>
              <w:t xml:space="preserve"> PPP. </w:t>
            </w:r>
            <w:r w:rsidRPr="008106CA">
              <w:rPr>
                <w:rFonts w:eastAsia="Calibri" w:cs="Times New Roman"/>
                <w:i/>
                <w:sz w:val="20"/>
                <w:szCs w:val="20"/>
              </w:rPr>
              <w:t>Rynek partnerstwa</w:t>
            </w:r>
            <w:r w:rsidRPr="008106CA">
              <w:rPr>
                <w:rFonts w:cs="Times New Roman"/>
                <w:i/>
                <w:sz w:val="20"/>
                <w:szCs w:val="20"/>
              </w:rPr>
              <w:t xml:space="preserve"> publiczno-prywatnego i koncesji w Polsce w 2014r. na tle stanu obowiązującego w latach 2009-2013</w:t>
            </w:r>
            <w:r w:rsidRPr="008106CA">
              <w:rPr>
                <w:rFonts w:cs="Times New Roman"/>
                <w:sz w:val="20"/>
                <w:szCs w:val="20"/>
              </w:rPr>
              <w:t>, 2015, Ministerstwo Gospodarki, Warszawa, p. 12.</w:t>
            </w:r>
            <w:r w:rsidRPr="008106CA">
              <w:rPr>
                <w:sz w:val="20"/>
                <w:szCs w:val="20"/>
              </w:rPr>
              <w:t xml:space="preserve"> </w:t>
            </w:r>
          </w:p>
        </w:tc>
      </w:tr>
    </w:tbl>
    <w:p w:rsidR="00061765" w:rsidRDefault="00061765" w:rsidP="003C3156"/>
    <w:p w:rsidR="003C3156" w:rsidRDefault="00577713" w:rsidP="003C3156">
      <w:pPr>
        <w:rPr>
          <w:lang w:val="en-US"/>
        </w:rPr>
      </w:pPr>
      <w:r>
        <w:rPr>
          <w:lang w:val="en-US"/>
        </w:rPr>
        <w:t>T</w:t>
      </w:r>
      <w:r w:rsidRPr="00577713">
        <w:rPr>
          <w:lang w:val="en-US"/>
        </w:rPr>
        <w:t>he Polish PPP market is not well developed and also very specific: projects are rather small in terms of capital expenditure, they are not very complicated, and they are mainly undertaken by local authorities</w:t>
      </w:r>
      <w:r w:rsidR="0076093A">
        <w:rPr>
          <w:lang w:val="en-US"/>
        </w:rPr>
        <w:t xml:space="preserve"> (see Figure 2)</w:t>
      </w:r>
      <w:r w:rsidRPr="00577713">
        <w:rPr>
          <w:lang w:val="en-US"/>
        </w:rPr>
        <w:t>.</w:t>
      </w:r>
      <w:r w:rsidR="00626BFA">
        <w:rPr>
          <w:lang w:val="en-GB"/>
        </w:rPr>
        <w:t xml:space="preserve"> </w:t>
      </w:r>
      <w:r w:rsidR="00626BFA" w:rsidRPr="00626BFA">
        <w:rPr>
          <w:lang w:val="en-US"/>
        </w:rPr>
        <w:t xml:space="preserve">While discussing the main obstacles </w:t>
      </w:r>
      <w:r w:rsidR="00061765">
        <w:rPr>
          <w:lang w:val="en-US"/>
        </w:rPr>
        <w:t>to</w:t>
      </w:r>
      <w:r w:rsidR="00061765" w:rsidRPr="00626BFA">
        <w:rPr>
          <w:lang w:val="en-US"/>
        </w:rPr>
        <w:t xml:space="preserve"> </w:t>
      </w:r>
      <w:r w:rsidR="00626BFA" w:rsidRPr="00626BFA">
        <w:rPr>
          <w:lang w:val="en-US"/>
        </w:rPr>
        <w:t>further PPP development in Poland, there are numerous reasons frequently pointed out, such as inefficient legal framework, lack of trust and social capital</w:t>
      </w:r>
      <w:r w:rsidR="00626BFA">
        <w:rPr>
          <w:lang w:val="en-US"/>
        </w:rPr>
        <w:t xml:space="preserve">, insufficient support from central government. The main reason of so many PPP failures in the eyes of the present author is an approach of public bodies urging to keep the project neutral </w:t>
      </w:r>
      <w:r w:rsidR="00061765">
        <w:rPr>
          <w:lang w:val="en-US"/>
        </w:rPr>
        <w:t xml:space="preserve">with regard to </w:t>
      </w:r>
      <w:r w:rsidR="00626BFA">
        <w:rPr>
          <w:lang w:val="en-US"/>
        </w:rPr>
        <w:t xml:space="preserve">public debt. </w:t>
      </w:r>
      <w:r w:rsidR="00626BFA" w:rsidRPr="00294368">
        <w:rPr>
          <w:lang w:val="en-GB"/>
        </w:rPr>
        <w:t xml:space="preserve">If a contract is structured in an appropriate way, consistent with the </w:t>
      </w:r>
      <w:proofErr w:type="spellStart"/>
      <w:r w:rsidR="00626BFA" w:rsidRPr="00294368">
        <w:rPr>
          <w:lang w:val="en-GB"/>
        </w:rPr>
        <w:t>Eurostat</w:t>
      </w:r>
      <w:proofErr w:type="spellEnd"/>
      <w:r w:rsidR="00626BFA">
        <w:rPr>
          <w:rStyle w:val="Odwoanieprzypisukocowego"/>
          <w:lang w:val="en-GB"/>
        </w:rPr>
        <w:endnoteReference w:id="2"/>
      </w:r>
      <w:r w:rsidR="00626BFA" w:rsidRPr="00294368">
        <w:rPr>
          <w:lang w:val="en-GB"/>
        </w:rPr>
        <w:t xml:space="preserve"> decision, the borrowing does not appear in the government's accounts.</w:t>
      </w:r>
      <w:r w:rsidR="00626BFA">
        <w:rPr>
          <w:lang w:val="en-GB"/>
        </w:rPr>
        <w:t xml:space="preserve"> </w:t>
      </w:r>
      <w:r w:rsidR="006820E5">
        <w:rPr>
          <w:lang w:val="en-US"/>
        </w:rPr>
        <w:t xml:space="preserve">This approach results in inappropriate construction of PPP agreements (inadequate financial models and risk allocation): they are not tuned to the nature of the project but only with the aim of staying neutral for public debt. </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212"/>
      </w:tblGrid>
      <w:tr w:rsidR="0076093A" w:rsidTr="00754594">
        <w:tc>
          <w:tcPr>
            <w:tcW w:w="9212" w:type="dxa"/>
          </w:tcPr>
          <w:p w:rsidR="0076093A" w:rsidRDefault="0076093A" w:rsidP="0076093A">
            <w:pPr>
              <w:jc w:val="center"/>
              <w:rPr>
                <w:lang w:val="en-US"/>
              </w:rPr>
            </w:pPr>
            <w:r w:rsidRPr="0076093A">
              <w:rPr>
                <w:noProof/>
                <w:lang w:eastAsia="pl-PL"/>
              </w:rPr>
              <w:drawing>
                <wp:inline distT="0" distB="0" distL="0" distR="0">
                  <wp:extent cx="4343400" cy="2603500"/>
                  <wp:effectExtent l="0" t="0" r="0" b="0"/>
                  <wp:docPr id="3" name="Wykres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76093A" w:rsidRPr="00061765" w:rsidTr="00754594">
        <w:tc>
          <w:tcPr>
            <w:tcW w:w="9212" w:type="dxa"/>
          </w:tcPr>
          <w:p w:rsidR="008106CA" w:rsidRDefault="0076093A" w:rsidP="00061765">
            <w:pPr>
              <w:rPr>
                <w:lang w:val="en-US"/>
              </w:rPr>
            </w:pPr>
            <w:r>
              <w:rPr>
                <w:lang w:val="en-US"/>
              </w:rPr>
              <w:t>Figure 2. The decomposition of signed PPP projects in Poland, with regard to the projects' size, 1.01.2009-31.12.2014</w:t>
            </w:r>
            <w:r w:rsidR="00061765">
              <w:rPr>
                <w:lang w:val="en-US"/>
              </w:rPr>
              <w:t xml:space="preserve">.  </w:t>
            </w:r>
          </w:p>
          <w:p w:rsidR="0076093A" w:rsidRPr="008106CA" w:rsidRDefault="0076093A" w:rsidP="00061765">
            <w:pPr>
              <w:rPr>
                <w:sz w:val="20"/>
                <w:szCs w:val="20"/>
                <w:lang w:val="en-US"/>
              </w:rPr>
            </w:pPr>
            <w:r w:rsidRPr="008106CA">
              <w:rPr>
                <w:sz w:val="20"/>
                <w:szCs w:val="20"/>
                <w:lang w:val="en-US"/>
              </w:rPr>
              <w:t xml:space="preserve">Source: as figure 1, p. 24. </w:t>
            </w:r>
          </w:p>
        </w:tc>
      </w:tr>
    </w:tbl>
    <w:p w:rsidR="0076093A" w:rsidRDefault="0076093A" w:rsidP="003C3156">
      <w:pPr>
        <w:rPr>
          <w:lang w:val="en-US"/>
        </w:rPr>
      </w:pPr>
    </w:p>
    <w:p w:rsidR="006820E5" w:rsidRPr="006820E5" w:rsidRDefault="006820E5" w:rsidP="003C3156">
      <w:pPr>
        <w:rPr>
          <w:lang w:val="en-US"/>
        </w:rPr>
      </w:pPr>
      <w:r>
        <w:rPr>
          <w:lang w:val="en-US"/>
        </w:rPr>
        <w:lastRenderedPageBreak/>
        <w:t xml:space="preserve">Moreover, </w:t>
      </w:r>
      <w:r w:rsidR="00061765">
        <w:rPr>
          <w:lang w:val="en-US"/>
        </w:rPr>
        <w:t xml:space="preserve">the </w:t>
      </w:r>
      <w:r>
        <w:rPr>
          <w:lang w:val="en-US"/>
        </w:rPr>
        <w:t xml:space="preserve">PPP method is perceived only as a remedy for budgetary constraints. </w:t>
      </w:r>
      <w:r w:rsidR="00061765">
        <w:rPr>
          <w:lang w:val="en-US"/>
        </w:rPr>
        <w:t>The m</w:t>
      </w:r>
      <w:r>
        <w:rPr>
          <w:lang w:val="en-US"/>
        </w:rPr>
        <w:t>ajority of Polish local authorities surveyed in 2011 valued "possibility of acquiring additional capital" and "off-balance financing" as the most important PPP virtues (</w:t>
      </w:r>
      <w:proofErr w:type="spellStart"/>
      <w:r>
        <w:rPr>
          <w:lang w:val="en-US"/>
        </w:rPr>
        <w:t>Bitner</w:t>
      </w:r>
      <w:proofErr w:type="spellEnd"/>
      <w:r>
        <w:rPr>
          <w:lang w:val="en-US"/>
        </w:rPr>
        <w:t xml:space="preserve"> et al, 2011, p. 25). A discussion concerning long-term effects of PPP</w:t>
      </w:r>
      <w:r w:rsidR="00061765">
        <w:rPr>
          <w:lang w:val="en-US"/>
        </w:rPr>
        <w:t xml:space="preserve"> and the effects on future</w:t>
      </w:r>
      <w:r>
        <w:rPr>
          <w:lang w:val="en-US"/>
        </w:rPr>
        <w:t xml:space="preserve"> generations simply does not exist in </w:t>
      </w:r>
      <w:r w:rsidR="0025238B">
        <w:rPr>
          <w:lang w:val="en-US"/>
        </w:rPr>
        <w:t>Poland</w:t>
      </w:r>
      <w:r>
        <w:rPr>
          <w:lang w:val="en-US"/>
        </w:rPr>
        <w:t>. The myopia is</w:t>
      </w:r>
      <w:r w:rsidRPr="006820E5">
        <w:rPr>
          <w:rFonts w:cs="Times New Roman"/>
          <w:sz w:val="26"/>
          <w:szCs w:val="26"/>
          <w:lang w:val="en-US"/>
        </w:rPr>
        <w:t xml:space="preserve"> </w:t>
      </w:r>
      <w:r w:rsidRPr="00BF0F68">
        <w:rPr>
          <w:lang w:val="en-US"/>
        </w:rPr>
        <w:t>becoming increasingly common among</w:t>
      </w:r>
      <w:r>
        <w:rPr>
          <w:lang w:val="en-US"/>
        </w:rPr>
        <w:t xml:space="preserve"> public entities responsible</w:t>
      </w:r>
      <w:r w:rsidR="00BF0F68">
        <w:rPr>
          <w:lang w:val="en-US"/>
        </w:rPr>
        <w:t xml:space="preserve"> for PPP projects, as shown in the</w:t>
      </w:r>
      <w:r>
        <w:rPr>
          <w:lang w:val="en-US"/>
        </w:rPr>
        <w:t xml:space="preserve"> next section of the paper.</w:t>
      </w:r>
    </w:p>
    <w:p w:rsidR="00EC3935" w:rsidRDefault="005E67B6" w:rsidP="00563E21">
      <w:pPr>
        <w:pStyle w:val="Nagwek3"/>
        <w:rPr>
          <w:lang w:val="en-US"/>
        </w:rPr>
      </w:pPr>
      <w:r>
        <w:rPr>
          <w:lang w:val="en-US"/>
        </w:rPr>
        <w:t>Case studies</w:t>
      </w:r>
    </w:p>
    <w:p w:rsidR="003C3156" w:rsidRPr="0053646B" w:rsidRDefault="003C3156" w:rsidP="008106CA">
      <w:pPr>
        <w:pStyle w:val="Nagwek4"/>
        <w:rPr>
          <w:lang w:val="en-US"/>
        </w:rPr>
      </w:pPr>
      <w:proofErr w:type="spellStart"/>
      <w:r w:rsidRPr="0053646B">
        <w:rPr>
          <w:lang w:val="en-US"/>
        </w:rPr>
        <w:t>Solec-Zdrój</w:t>
      </w:r>
      <w:proofErr w:type="spellEnd"/>
      <w:r w:rsidR="00A75AC0">
        <w:rPr>
          <w:lang w:val="en-US"/>
        </w:rPr>
        <w:t>: The mineral</w:t>
      </w:r>
      <w:r w:rsidR="00AC5FF1">
        <w:rPr>
          <w:lang w:val="en-US"/>
        </w:rPr>
        <w:t xml:space="preserve"> water</w:t>
      </w:r>
      <w:r w:rsidR="00A75AC0">
        <w:rPr>
          <w:lang w:val="en-US"/>
        </w:rPr>
        <w:t xml:space="preserve"> swimming pools complex</w:t>
      </w:r>
    </w:p>
    <w:tbl>
      <w:tblPr>
        <w:tblStyle w:val="Tabela-Siatka"/>
        <w:tblW w:w="0" w:type="auto"/>
        <w:jc w:val="center"/>
        <w:tblInd w:w="-866" w:type="dxa"/>
        <w:tblLook w:val="04A0"/>
      </w:tblPr>
      <w:tblGrid>
        <w:gridCol w:w="7353"/>
      </w:tblGrid>
      <w:tr w:rsidR="00982870" w:rsidRPr="00410A60" w:rsidTr="00093BDF">
        <w:trPr>
          <w:jc w:val="center"/>
        </w:trPr>
        <w:tc>
          <w:tcPr>
            <w:tcW w:w="7353" w:type="dxa"/>
          </w:tcPr>
          <w:p w:rsidR="00982870" w:rsidRPr="0021788B" w:rsidRDefault="00982870" w:rsidP="001A12C9">
            <w:pPr>
              <w:rPr>
                <w:i/>
                <w:sz w:val="18"/>
                <w:szCs w:val="18"/>
                <w:lang w:val="en-US"/>
              </w:rPr>
            </w:pPr>
            <w:proofErr w:type="spellStart"/>
            <w:r w:rsidRPr="0021788B">
              <w:rPr>
                <w:i/>
                <w:sz w:val="18"/>
                <w:szCs w:val="18"/>
                <w:lang w:val="en-US"/>
              </w:rPr>
              <w:t>Solec-Zdrój</w:t>
            </w:r>
            <w:proofErr w:type="spellEnd"/>
            <w:r w:rsidRPr="0021788B">
              <w:rPr>
                <w:i/>
                <w:sz w:val="18"/>
                <w:szCs w:val="18"/>
                <w:lang w:val="en-US"/>
              </w:rPr>
              <w:t>: key facts and figures</w:t>
            </w:r>
          </w:p>
          <w:p w:rsidR="0021788B" w:rsidRPr="0021788B" w:rsidRDefault="0021788B" w:rsidP="001A12C9">
            <w:pPr>
              <w:rPr>
                <w:i/>
                <w:sz w:val="18"/>
                <w:szCs w:val="18"/>
                <w:lang w:val="en-US"/>
              </w:rPr>
            </w:pPr>
          </w:p>
          <w:p w:rsidR="00982870" w:rsidRPr="0021788B" w:rsidRDefault="00982870" w:rsidP="001A12C9">
            <w:pPr>
              <w:rPr>
                <w:sz w:val="18"/>
                <w:szCs w:val="18"/>
                <w:lang w:val="en-US"/>
              </w:rPr>
            </w:pPr>
            <w:r w:rsidRPr="0021788B">
              <w:rPr>
                <w:sz w:val="18"/>
                <w:szCs w:val="18"/>
                <w:lang w:val="en-US"/>
              </w:rPr>
              <w:t xml:space="preserve">- Total net expenditure 16 </w:t>
            </w:r>
            <w:proofErr w:type="spellStart"/>
            <w:r w:rsidRPr="0021788B">
              <w:rPr>
                <w:sz w:val="18"/>
                <w:szCs w:val="18"/>
                <w:lang w:val="en-US"/>
              </w:rPr>
              <w:t>mln</w:t>
            </w:r>
            <w:proofErr w:type="spellEnd"/>
            <w:r w:rsidRPr="0021788B">
              <w:rPr>
                <w:sz w:val="18"/>
                <w:szCs w:val="18"/>
                <w:lang w:val="en-US"/>
              </w:rPr>
              <w:t xml:space="preserve"> PLN (around 4 </w:t>
            </w:r>
            <w:proofErr w:type="spellStart"/>
            <w:r w:rsidRPr="0021788B">
              <w:rPr>
                <w:sz w:val="18"/>
                <w:szCs w:val="18"/>
                <w:lang w:val="en-US"/>
              </w:rPr>
              <w:t>mln</w:t>
            </w:r>
            <w:proofErr w:type="spellEnd"/>
            <w:r w:rsidRPr="0021788B">
              <w:rPr>
                <w:sz w:val="18"/>
                <w:szCs w:val="18"/>
                <w:lang w:val="en-US"/>
              </w:rPr>
              <w:t xml:space="preserve"> euro)</w:t>
            </w:r>
          </w:p>
          <w:p w:rsidR="00982870" w:rsidRPr="0021788B" w:rsidRDefault="00982870" w:rsidP="001A12C9">
            <w:pPr>
              <w:rPr>
                <w:sz w:val="18"/>
                <w:szCs w:val="18"/>
                <w:lang w:val="en-US"/>
              </w:rPr>
            </w:pPr>
            <w:r w:rsidRPr="0021788B">
              <w:rPr>
                <w:sz w:val="18"/>
                <w:szCs w:val="18"/>
                <w:lang w:val="en-US"/>
              </w:rPr>
              <w:t>- Financial structure:</w:t>
            </w:r>
          </w:p>
          <w:p w:rsidR="00982870" w:rsidRPr="0021788B" w:rsidRDefault="00982870" w:rsidP="00061765">
            <w:pPr>
              <w:ind w:left="310"/>
              <w:rPr>
                <w:sz w:val="18"/>
                <w:szCs w:val="18"/>
                <w:lang w:val="en-US"/>
              </w:rPr>
            </w:pPr>
            <w:r w:rsidRPr="0021788B">
              <w:rPr>
                <w:sz w:val="18"/>
                <w:szCs w:val="18"/>
                <w:lang w:val="en-US"/>
              </w:rPr>
              <w:t>* EU Funds 42,5%</w:t>
            </w:r>
          </w:p>
          <w:p w:rsidR="00982870" w:rsidRPr="0021788B" w:rsidRDefault="00982870" w:rsidP="00061765">
            <w:pPr>
              <w:ind w:left="310"/>
              <w:rPr>
                <w:sz w:val="18"/>
                <w:szCs w:val="18"/>
                <w:lang w:val="en-US"/>
              </w:rPr>
            </w:pPr>
            <w:r w:rsidRPr="0021788B">
              <w:rPr>
                <w:sz w:val="18"/>
                <w:szCs w:val="18"/>
                <w:lang w:val="en-US"/>
              </w:rPr>
              <w:t>* Central budget 7,5%</w:t>
            </w:r>
          </w:p>
          <w:p w:rsidR="00982870" w:rsidRPr="0021788B" w:rsidRDefault="00982870" w:rsidP="00061765">
            <w:pPr>
              <w:ind w:left="310"/>
              <w:rPr>
                <w:sz w:val="18"/>
                <w:szCs w:val="18"/>
                <w:lang w:val="en-US"/>
              </w:rPr>
            </w:pPr>
            <w:r w:rsidRPr="0021788B">
              <w:rPr>
                <w:sz w:val="18"/>
                <w:szCs w:val="18"/>
                <w:lang w:val="en-US"/>
              </w:rPr>
              <w:t>* Private partner 50%</w:t>
            </w:r>
          </w:p>
          <w:p w:rsidR="00982870" w:rsidRPr="0021788B" w:rsidRDefault="00982870" w:rsidP="001A12C9">
            <w:pPr>
              <w:rPr>
                <w:sz w:val="18"/>
                <w:szCs w:val="18"/>
                <w:lang w:val="en-US"/>
              </w:rPr>
            </w:pPr>
            <w:r w:rsidRPr="0021788B">
              <w:rPr>
                <w:sz w:val="18"/>
                <w:szCs w:val="18"/>
                <w:lang w:val="en-US"/>
              </w:rPr>
              <w:t>- DBOT model</w:t>
            </w:r>
          </w:p>
          <w:p w:rsidR="00982870" w:rsidRPr="0021788B" w:rsidRDefault="00982870" w:rsidP="001A12C9">
            <w:pPr>
              <w:rPr>
                <w:sz w:val="18"/>
                <w:szCs w:val="18"/>
                <w:lang w:val="en-US"/>
              </w:rPr>
            </w:pPr>
            <w:r w:rsidRPr="0021788B">
              <w:rPr>
                <w:sz w:val="18"/>
                <w:szCs w:val="18"/>
                <w:lang w:val="en-US"/>
              </w:rPr>
              <w:t>- Contract duration: 27 years (+/- three years, depending on the repayment period)</w:t>
            </w:r>
          </w:p>
          <w:p w:rsidR="00982870" w:rsidRPr="0021788B" w:rsidRDefault="00982870" w:rsidP="001A12C9">
            <w:pPr>
              <w:rPr>
                <w:sz w:val="18"/>
                <w:szCs w:val="18"/>
                <w:lang w:val="en-US"/>
              </w:rPr>
            </w:pPr>
            <w:r w:rsidRPr="0021788B">
              <w:rPr>
                <w:sz w:val="18"/>
                <w:szCs w:val="18"/>
                <w:lang w:val="en-US"/>
              </w:rPr>
              <w:t>- Private partner shapes prices freely</w:t>
            </w:r>
          </w:p>
          <w:p w:rsidR="0021788B" w:rsidRPr="0021788B" w:rsidRDefault="0021788B" w:rsidP="001A12C9">
            <w:pPr>
              <w:rPr>
                <w:sz w:val="18"/>
                <w:szCs w:val="18"/>
                <w:lang w:val="en-US"/>
              </w:rPr>
            </w:pPr>
            <w:r w:rsidRPr="0021788B">
              <w:rPr>
                <w:sz w:val="18"/>
                <w:szCs w:val="18"/>
                <w:lang w:val="en-US"/>
              </w:rPr>
              <w:t>- Project is currently in operation</w:t>
            </w:r>
            <w:r w:rsidR="000F5C21">
              <w:rPr>
                <w:sz w:val="18"/>
                <w:szCs w:val="18"/>
                <w:lang w:val="en-US"/>
              </w:rPr>
              <w:t xml:space="preserve"> (since 2013)</w:t>
            </w:r>
          </w:p>
        </w:tc>
      </w:tr>
    </w:tbl>
    <w:p w:rsidR="00982870" w:rsidRPr="00AC5FF1" w:rsidRDefault="00AC5FF1" w:rsidP="00982870">
      <w:pPr>
        <w:rPr>
          <w:lang w:val="en-US"/>
        </w:rPr>
      </w:pPr>
      <w:r>
        <w:rPr>
          <w:lang w:val="en-US"/>
        </w:rPr>
        <w:t xml:space="preserve">According to official documentation of the project, its </w:t>
      </w:r>
      <w:r w:rsidRPr="00AC5FF1">
        <w:rPr>
          <w:lang w:val="en-US"/>
        </w:rPr>
        <w:t>main aim</w:t>
      </w:r>
      <w:r>
        <w:rPr>
          <w:lang w:val="en-US"/>
        </w:rPr>
        <w:t xml:space="preserve">s were as follows: </w:t>
      </w:r>
      <w:r w:rsidRPr="00AC5FF1">
        <w:rPr>
          <w:lang w:val="en-US"/>
        </w:rPr>
        <w:t xml:space="preserve"> </w:t>
      </w:r>
      <w:r>
        <w:rPr>
          <w:lang w:val="en-US"/>
        </w:rPr>
        <w:t>the enhancement of touri</w:t>
      </w:r>
      <w:r w:rsidR="00061765">
        <w:rPr>
          <w:lang w:val="en-US"/>
        </w:rPr>
        <w:t xml:space="preserve">sm </w:t>
      </w:r>
      <w:r>
        <w:rPr>
          <w:lang w:val="en-US"/>
        </w:rPr>
        <w:t>in the region, promotio</w:t>
      </w:r>
      <w:r w:rsidR="00982870">
        <w:rPr>
          <w:lang w:val="en-US"/>
        </w:rPr>
        <w:t>n of tourist attractiveness</w:t>
      </w:r>
      <w:r w:rsidR="00EC0D62">
        <w:rPr>
          <w:lang w:val="en-US"/>
        </w:rPr>
        <w:t>,</w:t>
      </w:r>
      <w:r w:rsidR="00982870">
        <w:rPr>
          <w:lang w:val="en-US"/>
        </w:rPr>
        <w:t xml:space="preserve"> and the </w:t>
      </w:r>
      <w:r>
        <w:rPr>
          <w:lang w:val="en-US"/>
        </w:rPr>
        <w:t xml:space="preserve">creation of positive image of </w:t>
      </w:r>
      <w:proofErr w:type="spellStart"/>
      <w:r>
        <w:rPr>
          <w:lang w:val="en-US"/>
        </w:rPr>
        <w:t>Solec-Zdrój</w:t>
      </w:r>
      <w:proofErr w:type="spellEnd"/>
      <w:r>
        <w:rPr>
          <w:lang w:val="en-US"/>
        </w:rPr>
        <w:t xml:space="preserve"> by offering a brand-new tourist product. </w:t>
      </w:r>
      <w:r w:rsidRPr="00AC5FF1">
        <w:rPr>
          <w:lang w:val="en-US"/>
        </w:rPr>
        <w:t xml:space="preserve">The project was intended to supplement the </w:t>
      </w:r>
      <w:r w:rsidR="00EC0D62">
        <w:rPr>
          <w:lang w:val="en-US"/>
        </w:rPr>
        <w:t xml:space="preserve">therapeutic bathing </w:t>
      </w:r>
      <w:r w:rsidRPr="00AC5FF1">
        <w:rPr>
          <w:lang w:val="en-US"/>
        </w:rPr>
        <w:t>facilities</w:t>
      </w:r>
      <w:r>
        <w:rPr>
          <w:lang w:val="en-US"/>
        </w:rPr>
        <w:t xml:space="preserve"> and </w:t>
      </w:r>
      <w:r w:rsidR="00982870">
        <w:rPr>
          <w:lang w:val="en-US"/>
        </w:rPr>
        <w:t xml:space="preserve">it </w:t>
      </w:r>
      <w:r w:rsidR="00EC0D62">
        <w:rPr>
          <w:lang w:val="en-US"/>
        </w:rPr>
        <w:t>was based on</w:t>
      </w:r>
      <w:r>
        <w:rPr>
          <w:lang w:val="en-US"/>
        </w:rPr>
        <w:t xml:space="preserve"> unique </w:t>
      </w:r>
      <w:r w:rsidR="00982870">
        <w:rPr>
          <w:lang w:val="en-US"/>
        </w:rPr>
        <w:t>mineral</w:t>
      </w:r>
      <w:r>
        <w:rPr>
          <w:lang w:val="en-US"/>
        </w:rPr>
        <w:t xml:space="preserve"> springs. </w:t>
      </w:r>
      <w:r w:rsidR="00982870" w:rsidRPr="00982870">
        <w:rPr>
          <w:lang w:val="en-US"/>
        </w:rPr>
        <w:t>Surprisingly</w:t>
      </w:r>
      <w:r w:rsidR="00982870">
        <w:rPr>
          <w:lang w:val="en-US"/>
        </w:rPr>
        <w:t xml:space="preserve">, the local authorities did not consult the local community at any phase of the project preparation. </w:t>
      </w:r>
    </w:p>
    <w:p w:rsidR="005E67B6" w:rsidRDefault="00AC5FF1" w:rsidP="00BF0F68">
      <w:pPr>
        <w:rPr>
          <w:lang w:val="en-US"/>
        </w:rPr>
      </w:pPr>
      <w:r>
        <w:rPr>
          <w:lang w:val="en-US"/>
        </w:rPr>
        <w:t xml:space="preserve">Only one potential private partner participated in the procurement procedure. </w:t>
      </w:r>
      <w:r w:rsidR="00EC0D62">
        <w:rPr>
          <w:lang w:val="en-US"/>
        </w:rPr>
        <w:t>This</w:t>
      </w:r>
      <w:r w:rsidR="00EC0D62" w:rsidRPr="00AC5FF1">
        <w:rPr>
          <w:lang w:val="en-US"/>
        </w:rPr>
        <w:t xml:space="preserve"> </w:t>
      </w:r>
      <w:r w:rsidRPr="00AC5FF1">
        <w:rPr>
          <w:lang w:val="en-US"/>
        </w:rPr>
        <w:t xml:space="preserve">implies that negotiation power of </w:t>
      </w:r>
      <w:r w:rsidR="00EC0D62">
        <w:rPr>
          <w:lang w:val="en-US"/>
        </w:rPr>
        <w:t xml:space="preserve">the </w:t>
      </w:r>
      <w:r w:rsidRPr="00AC5FF1">
        <w:rPr>
          <w:lang w:val="en-US"/>
        </w:rPr>
        <w:t>public entity, de</w:t>
      </w:r>
      <w:r>
        <w:rPr>
          <w:lang w:val="en-US"/>
        </w:rPr>
        <w:t xml:space="preserve">sperately seeking for lacking sources of capital for the project, was very limited. </w:t>
      </w:r>
      <w:r w:rsidRPr="00AC5FF1">
        <w:rPr>
          <w:lang w:val="en-US"/>
        </w:rPr>
        <w:t xml:space="preserve">The </w:t>
      </w:r>
      <w:r w:rsidR="00EC0D62">
        <w:rPr>
          <w:lang w:val="en-US"/>
        </w:rPr>
        <w:t>private partner</w:t>
      </w:r>
      <w:r w:rsidR="00EC0D62" w:rsidRPr="00BF0F68">
        <w:rPr>
          <w:lang w:val="en-US"/>
        </w:rPr>
        <w:t xml:space="preserve"> </w:t>
      </w:r>
      <w:r w:rsidRPr="00BF0F68">
        <w:rPr>
          <w:lang w:val="en-US"/>
        </w:rPr>
        <w:t>had been already present</w:t>
      </w:r>
      <w:r w:rsidR="00FE1C41">
        <w:rPr>
          <w:lang w:val="en-US"/>
        </w:rPr>
        <w:t xml:space="preserve"> since 2005 in </w:t>
      </w:r>
      <w:proofErr w:type="spellStart"/>
      <w:r w:rsidR="00FE1C41">
        <w:rPr>
          <w:lang w:val="en-US"/>
        </w:rPr>
        <w:t>Solec-Zdrój</w:t>
      </w:r>
      <w:proofErr w:type="spellEnd"/>
      <w:r w:rsidR="00FE1C41">
        <w:rPr>
          <w:lang w:val="en-US"/>
        </w:rPr>
        <w:t xml:space="preserve"> as the</w:t>
      </w:r>
      <w:r w:rsidRPr="00BF0F68">
        <w:rPr>
          <w:lang w:val="en-US"/>
        </w:rPr>
        <w:t xml:space="preserve"> owner of </w:t>
      </w:r>
      <w:r w:rsidR="00BF0F68" w:rsidRPr="00BF0F68">
        <w:rPr>
          <w:lang w:val="en-US"/>
        </w:rPr>
        <w:t xml:space="preserve">a </w:t>
      </w:r>
      <w:r w:rsidRPr="00BF0F68">
        <w:rPr>
          <w:lang w:val="en-US"/>
        </w:rPr>
        <w:t>four-star medical spa hotel</w:t>
      </w:r>
      <w:r>
        <w:rPr>
          <w:rFonts w:cs="Times New Roman"/>
          <w:sz w:val="26"/>
          <w:szCs w:val="26"/>
          <w:lang w:val="en-US"/>
        </w:rPr>
        <w:t xml:space="preserve"> "</w:t>
      </w:r>
      <w:proofErr w:type="spellStart"/>
      <w:r>
        <w:rPr>
          <w:lang w:val="en-US"/>
        </w:rPr>
        <w:t>Malinowy</w:t>
      </w:r>
      <w:proofErr w:type="spellEnd"/>
      <w:r>
        <w:rPr>
          <w:lang w:val="en-US"/>
        </w:rPr>
        <w:t xml:space="preserve"> </w:t>
      </w:r>
      <w:proofErr w:type="spellStart"/>
      <w:r>
        <w:rPr>
          <w:lang w:val="en-US"/>
        </w:rPr>
        <w:t>Dwór</w:t>
      </w:r>
      <w:proofErr w:type="spellEnd"/>
      <w:r>
        <w:rPr>
          <w:lang w:val="en-US"/>
        </w:rPr>
        <w:t xml:space="preserve">". </w:t>
      </w:r>
      <w:r w:rsidRPr="00AC5FF1">
        <w:rPr>
          <w:lang w:val="en-US"/>
        </w:rPr>
        <w:t>The swimming pools complex</w:t>
      </w:r>
      <w:r w:rsidR="00BF0F68">
        <w:rPr>
          <w:lang w:val="en-US"/>
        </w:rPr>
        <w:t xml:space="preserve">, built in its </w:t>
      </w:r>
      <w:proofErr w:type="spellStart"/>
      <w:r w:rsidR="00BF0F68">
        <w:rPr>
          <w:lang w:val="en-US"/>
        </w:rPr>
        <w:t>neighbourhood</w:t>
      </w:r>
      <w:proofErr w:type="spellEnd"/>
      <w:r w:rsidR="00BF0F68">
        <w:rPr>
          <w:lang w:val="en-US"/>
        </w:rPr>
        <w:t>,</w:t>
      </w:r>
      <w:r w:rsidRPr="00AC5FF1">
        <w:rPr>
          <w:lang w:val="en-US"/>
        </w:rPr>
        <w:t xml:space="preserve"> was a natural complement to t</w:t>
      </w:r>
      <w:r>
        <w:rPr>
          <w:lang w:val="en-US"/>
        </w:rPr>
        <w:t xml:space="preserve">he hotel. </w:t>
      </w:r>
      <w:r w:rsidR="00982870">
        <w:rPr>
          <w:lang w:val="en-US"/>
        </w:rPr>
        <w:t xml:space="preserve">The private partner was </w:t>
      </w:r>
      <w:r w:rsidR="00982870" w:rsidRPr="0021788B">
        <w:rPr>
          <w:lang w:val="en-US"/>
        </w:rPr>
        <w:t>unquestionably</w:t>
      </w:r>
      <w:r w:rsidR="00982870" w:rsidRPr="00A84C27">
        <w:rPr>
          <w:lang w:val="en-US"/>
        </w:rPr>
        <w:t xml:space="preserve"> the beneficiary of the project</w:t>
      </w:r>
      <w:r w:rsidR="00982870">
        <w:rPr>
          <w:rFonts w:cs="Times New Roman"/>
          <w:sz w:val="26"/>
          <w:szCs w:val="26"/>
          <w:lang w:val="en-US"/>
        </w:rPr>
        <w:t xml:space="preserve">. </w:t>
      </w:r>
      <w:r w:rsidR="0021788B">
        <w:rPr>
          <w:lang w:val="en-US"/>
        </w:rPr>
        <w:t xml:space="preserve">Is the </w:t>
      </w:r>
      <w:r w:rsidR="00982870">
        <w:rPr>
          <w:lang w:val="en-US"/>
        </w:rPr>
        <w:t>assessment from the public point of view</w:t>
      </w:r>
      <w:r w:rsidR="0021788B">
        <w:rPr>
          <w:lang w:val="en-US"/>
        </w:rPr>
        <w:t xml:space="preserve"> also </w:t>
      </w:r>
      <w:r w:rsidR="0021788B" w:rsidRPr="0021788B">
        <w:rPr>
          <w:lang w:val="en-US"/>
        </w:rPr>
        <w:t>unambiguousl</w:t>
      </w:r>
      <w:r w:rsidR="0021788B" w:rsidRPr="00A84C27">
        <w:rPr>
          <w:lang w:val="en-US"/>
        </w:rPr>
        <w:t>y positive?</w:t>
      </w:r>
    </w:p>
    <w:p w:rsidR="0021788B" w:rsidRDefault="000F5C21" w:rsidP="00BF0F68">
      <w:pPr>
        <w:rPr>
          <w:lang w:val="en-US"/>
        </w:rPr>
      </w:pPr>
      <w:r>
        <w:rPr>
          <w:lang w:val="en-US"/>
        </w:rPr>
        <w:t>It seems that the nature of the p</w:t>
      </w:r>
      <w:r w:rsidR="00563E21">
        <w:rPr>
          <w:lang w:val="en-US"/>
        </w:rPr>
        <w:t>roj</w:t>
      </w:r>
      <w:r w:rsidR="005733BC">
        <w:rPr>
          <w:lang w:val="en-US"/>
        </w:rPr>
        <w:t>ect is more recreation-like than</w:t>
      </w:r>
      <w:r w:rsidR="00563E21">
        <w:rPr>
          <w:lang w:val="en-US"/>
        </w:rPr>
        <w:t xml:space="preserve"> medical-one</w:t>
      </w:r>
      <w:r>
        <w:rPr>
          <w:lang w:val="en-US"/>
        </w:rPr>
        <w:t xml:space="preserve"> - the website (</w:t>
      </w:r>
      <w:r w:rsidRPr="000F5C21">
        <w:rPr>
          <w:lang w:val="en-US"/>
        </w:rPr>
        <w:t>http://www.basenymineralne.pl/</w:t>
      </w:r>
      <w:r w:rsidR="00563E21">
        <w:rPr>
          <w:lang w:val="en-US"/>
        </w:rPr>
        <w:t xml:space="preserve">) </w:t>
      </w:r>
      <w:r>
        <w:rPr>
          <w:lang w:val="en-US"/>
        </w:rPr>
        <w:t>of the complex</w:t>
      </w:r>
      <w:r w:rsidR="00EC0D62">
        <w:rPr>
          <w:lang w:val="en-US"/>
        </w:rPr>
        <w:t xml:space="preserve"> puts</w:t>
      </w:r>
      <w:r>
        <w:rPr>
          <w:lang w:val="en-US"/>
        </w:rPr>
        <w:t xml:space="preserve"> special emphasis on the recreation</w:t>
      </w:r>
      <w:r w:rsidR="00EC0D62">
        <w:rPr>
          <w:lang w:val="en-US"/>
        </w:rPr>
        <w:t>al</w:t>
      </w:r>
      <w:r>
        <w:rPr>
          <w:lang w:val="en-US"/>
        </w:rPr>
        <w:t xml:space="preserve"> virtues. The complex is divided into two parts: a </w:t>
      </w:r>
      <w:r w:rsidRPr="000F5C21">
        <w:rPr>
          <w:lang w:val="en-US"/>
        </w:rPr>
        <w:t xml:space="preserve">curative pool and </w:t>
      </w:r>
      <w:r>
        <w:rPr>
          <w:lang w:val="en-US"/>
        </w:rPr>
        <w:t xml:space="preserve">a </w:t>
      </w:r>
      <w:r w:rsidRPr="000F5C21">
        <w:rPr>
          <w:lang w:val="en-US"/>
        </w:rPr>
        <w:t>water park</w:t>
      </w:r>
      <w:r w:rsidR="001A12C9">
        <w:rPr>
          <w:lang w:val="en-US"/>
        </w:rPr>
        <w:t>. Given that</w:t>
      </w:r>
      <w:r w:rsidRPr="000F5C21">
        <w:rPr>
          <w:lang w:val="en-US"/>
        </w:rPr>
        <w:t xml:space="preserve"> </w:t>
      </w:r>
      <w:r>
        <w:rPr>
          <w:lang w:val="en-US"/>
        </w:rPr>
        <w:t>the latter prevails</w:t>
      </w:r>
      <w:r w:rsidR="001A12C9">
        <w:rPr>
          <w:lang w:val="en-US"/>
        </w:rPr>
        <w:t xml:space="preserve">, it is useful to assess the </w:t>
      </w:r>
      <w:r w:rsidR="00563E21">
        <w:rPr>
          <w:lang w:val="en-US"/>
        </w:rPr>
        <w:t xml:space="preserve">local </w:t>
      </w:r>
      <w:r w:rsidR="001A12C9">
        <w:rPr>
          <w:lang w:val="en-US"/>
        </w:rPr>
        <w:t xml:space="preserve">competitors of a water park. In the </w:t>
      </w:r>
      <w:proofErr w:type="spellStart"/>
      <w:r w:rsidR="001A12C9" w:rsidRPr="001A12C9">
        <w:rPr>
          <w:lang w:val="en-US"/>
        </w:rPr>
        <w:t>Świętokrzyskie</w:t>
      </w:r>
      <w:proofErr w:type="spellEnd"/>
      <w:r w:rsidR="001A12C9" w:rsidRPr="001A12C9">
        <w:rPr>
          <w:lang w:val="en-US"/>
        </w:rPr>
        <w:t xml:space="preserve"> region </w:t>
      </w:r>
      <w:r w:rsidR="001A12C9" w:rsidRPr="001A12C9">
        <w:rPr>
          <w:lang w:val="en-US"/>
        </w:rPr>
        <w:t xml:space="preserve">there are </w:t>
      </w:r>
      <w:r w:rsidR="001A12C9" w:rsidRPr="001A12C9">
        <w:rPr>
          <w:lang w:val="en-US"/>
        </w:rPr>
        <w:t>several water parks</w:t>
      </w:r>
      <w:r w:rsidR="00EC0D62">
        <w:rPr>
          <w:lang w:val="en-US"/>
        </w:rPr>
        <w:t>,</w:t>
      </w:r>
      <w:r w:rsidR="001A12C9" w:rsidRPr="001A12C9">
        <w:rPr>
          <w:lang w:val="en-US"/>
        </w:rPr>
        <w:t xml:space="preserve"> a</w:t>
      </w:r>
      <w:r w:rsidR="0009188E">
        <w:rPr>
          <w:lang w:val="en-US"/>
        </w:rPr>
        <w:t xml:space="preserve">s </w:t>
      </w:r>
      <w:r w:rsidR="0025238B">
        <w:rPr>
          <w:lang w:val="en-US"/>
        </w:rPr>
        <w:t>Figure 3</w:t>
      </w:r>
      <w:r w:rsidR="001A12C9">
        <w:rPr>
          <w:lang w:val="en-US"/>
        </w:rPr>
        <w:t xml:space="preserve"> shows.</w:t>
      </w:r>
    </w:p>
    <w:tbl>
      <w:tblPr>
        <w:tblStyle w:val="Tabela-Siatka"/>
        <w:tblW w:w="0" w:type="auto"/>
        <w:tblLook w:val="04A0"/>
      </w:tblPr>
      <w:tblGrid>
        <w:gridCol w:w="9212"/>
      </w:tblGrid>
      <w:tr w:rsidR="001A12C9" w:rsidTr="001A12C9">
        <w:tc>
          <w:tcPr>
            <w:tcW w:w="9212" w:type="dxa"/>
            <w:tcBorders>
              <w:top w:val="nil"/>
              <w:left w:val="nil"/>
              <w:bottom w:val="nil"/>
              <w:right w:val="nil"/>
            </w:tcBorders>
          </w:tcPr>
          <w:p w:rsidR="001A12C9" w:rsidRDefault="001A12C9" w:rsidP="00197E86">
            <w:pPr>
              <w:jc w:val="center"/>
              <w:rPr>
                <w:lang w:val="en-US"/>
              </w:rPr>
            </w:pPr>
            <w:r w:rsidRPr="001A12C9">
              <w:rPr>
                <w:noProof/>
                <w:lang w:eastAsia="pl-PL"/>
              </w:rPr>
              <w:lastRenderedPageBreak/>
              <w:drawing>
                <wp:inline distT="0" distB="0" distL="0" distR="0">
                  <wp:extent cx="2512483" cy="4178300"/>
                  <wp:effectExtent l="19050" t="0" r="2117" b="0"/>
                  <wp:docPr id="1" name="Obraz 1"/>
                  <wp:cNvGraphicFramePr/>
                  <a:graphic xmlns:a="http://schemas.openxmlformats.org/drawingml/2006/main">
                    <a:graphicData uri="http://schemas.openxmlformats.org/drawingml/2006/picture">
                      <pic:pic xmlns:pic="http://schemas.openxmlformats.org/drawingml/2006/picture">
                        <pic:nvPicPr>
                          <pic:cNvPr id="44034" name="Picture 2"/>
                          <pic:cNvPicPr>
                            <a:picLocks noChangeAspect="1" noChangeArrowheads="1"/>
                          </pic:cNvPicPr>
                        </pic:nvPicPr>
                        <pic:blipFill>
                          <a:blip r:embed="rId10" cstate="print"/>
                          <a:srcRect/>
                          <a:stretch>
                            <a:fillRect/>
                          </a:stretch>
                        </pic:blipFill>
                        <pic:spPr bwMode="auto">
                          <a:xfrm>
                            <a:off x="0" y="0"/>
                            <a:ext cx="2511957" cy="4177425"/>
                          </a:xfrm>
                          <a:prstGeom prst="rect">
                            <a:avLst/>
                          </a:prstGeom>
                          <a:noFill/>
                          <a:ln w="9525">
                            <a:noFill/>
                            <a:miter lim="800000"/>
                            <a:headEnd/>
                            <a:tailEnd/>
                          </a:ln>
                        </pic:spPr>
                      </pic:pic>
                    </a:graphicData>
                  </a:graphic>
                </wp:inline>
              </w:drawing>
            </w:r>
          </w:p>
        </w:tc>
      </w:tr>
      <w:tr w:rsidR="001A12C9" w:rsidRPr="00410A60" w:rsidTr="001A12C9">
        <w:tc>
          <w:tcPr>
            <w:tcW w:w="9212" w:type="dxa"/>
            <w:tcBorders>
              <w:top w:val="nil"/>
              <w:left w:val="nil"/>
              <w:bottom w:val="nil"/>
              <w:right w:val="nil"/>
            </w:tcBorders>
          </w:tcPr>
          <w:p w:rsidR="001A12C9" w:rsidRDefault="0025238B" w:rsidP="00BF0F68">
            <w:pPr>
              <w:rPr>
                <w:lang w:val="en-US"/>
              </w:rPr>
            </w:pPr>
            <w:r>
              <w:rPr>
                <w:lang w:val="en-US"/>
              </w:rPr>
              <w:t>Figure 3</w:t>
            </w:r>
            <w:r w:rsidR="001A12C9">
              <w:rPr>
                <w:lang w:val="en-US"/>
              </w:rPr>
              <w:t xml:space="preserve">. Water parks in the </w:t>
            </w:r>
            <w:proofErr w:type="spellStart"/>
            <w:r w:rsidR="001A12C9">
              <w:rPr>
                <w:lang w:val="en-US"/>
              </w:rPr>
              <w:t>neighbourhood</w:t>
            </w:r>
            <w:proofErr w:type="spellEnd"/>
            <w:r w:rsidR="001A12C9">
              <w:rPr>
                <w:lang w:val="en-US"/>
              </w:rPr>
              <w:t xml:space="preserve"> of </w:t>
            </w:r>
            <w:proofErr w:type="spellStart"/>
            <w:r w:rsidR="001A12C9">
              <w:rPr>
                <w:lang w:val="en-US"/>
              </w:rPr>
              <w:t>Solec-Zdrój</w:t>
            </w:r>
            <w:proofErr w:type="spellEnd"/>
          </w:p>
          <w:p w:rsidR="001A12C9" w:rsidRPr="008106CA" w:rsidRDefault="001A12C9" w:rsidP="001A12C9">
            <w:pPr>
              <w:rPr>
                <w:sz w:val="20"/>
                <w:szCs w:val="20"/>
                <w:lang w:val="en-US"/>
              </w:rPr>
            </w:pPr>
            <w:r w:rsidRPr="008106CA">
              <w:rPr>
                <w:sz w:val="20"/>
                <w:szCs w:val="20"/>
                <w:lang w:val="en-US"/>
              </w:rPr>
              <w:t>Source: author's own study, prepared using Google Maps, data on water parks found at: http://www.wodneparki.pl/swietokrzyskie-baseny-aquaparki-sauny (accessed 1.04.2015)</w:t>
            </w:r>
          </w:p>
        </w:tc>
      </w:tr>
    </w:tbl>
    <w:p w:rsidR="00EC0D62" w:rsidRDefault="00EC0D62" w:rsidP="00BF0F68">
      <w:pPr>
        <w:rPr>
          <w:lang w:val="en-US"/>
        </w:rPr>
      </w:pPr>
    </w:p>
    <w:p w:rsidR="001A12C9" w:rsidRDefault="001A12C9" w:rsidP="00BF0F68">
      <w:pPr>
        <w:rPr>
          <w:lang w:val="en-US"/>
        </w:rPr>
      </w:pPr>
      <w:r>
        <w:rPr>
          <w:lang w:val="en-US"/>
        </w:rPr>
        <w:t xml:space="preserve">In order to assess if the project </w:t>
      </w:r>
      <w:r w:rsidRPr="00A84C27">
        <w:rPr>
          <w:lang w:val="en-US"/>
        </w:rPr>
        <w:t>fulfils public needs</w:t>
      </w:r>
      <w:r>
        <w:rPr>
          <w:rFonts w:cs="Times New Roman"/>
          <w:sz w:val="26"/>
          <w:szCs w:val="26"/>
          <w:lang w:val="en-US"/>
        </w:rPr>
        <w:t xml:space="preserve">, </w:t>
      </w:r>
      <w:r>
        <w:rPr>
          <w:lang w:val="en-US"/>
        </w:rPr>
        <w:t>let us check the typical one-hour cost of using the pools (</w:t>
      </w:r>
      <w:proofErr w:type="spellStart"/>
      <w:r>
        <w:rPr>
          <w:lang w:val="en-US"/>
        </w:rPr>
        <w:t>cf</w:t>
      </w:r>
      <w:proofErr w:type="spellEnd"/>
      <w:r>
        <w:rPr>
          <w:lang w:val="en-US"/>
        </w:rPr>
        <w:t xml:space="preserve"> table 1).</w:t>
      </w:r>
    </w:p>
    <w:tbl>
      <w:tblPr>
        <w:tblStyle w:val="Tabela-Siatka"/>
        <w:tblW w:w="0" w:type="auto"/>
        <w:jc w:val="center"/>
        <w:tblLook w:val="04A0"/>
      </w:tblPr>
      <w:tblGrid>
        <w:gridCol w:w="1951"/>
        <w:gridCol w:w="2684"/>
      </w:tblGrid>
      <w:tr w:rsidR="001A12C9" w:rsidRPr="00410A60" w:rsidTr="001A12C9">
        <w:trPr>
          <w:jc w:val="center"/>
        </w:trPr>
        <w:tc>
          <w:tcPr>
            <w:tcW w:w="1951" w:type="dxa"/>
          </w:tcPr>
          <w:p w:rsidR="001A12C9" w:rsidRDefault="001A12C9" w:rsidP="001A12C9">
            <w:pPr>
              <w:jc w:val="center"/>
              <w:rPr>
                <w:lang w:val="en-US"/>
              </w:rPr>
            </w:pPr>
            <w:r>
              <w:rPr>
                <w:lang w:val="en-US"/>
              </w:rPr>
              <w:t>Water park</w:t>
            </w:r>
          </w:p>
        </w:tc>
        <w:tc>
          <w:tcPr>
            <w:tcW w:w="2684" w:type="dxa"/>
          </w:tcPr>
          <w:p w:rsidR="001A12C9" w:rsidRDefault="001A12C9" w:rsidP="001A12C9">
            <w:pPr>
              <w:jc w:val="center"/>
              <w:rPr>
                <w:lang w:val="en-US"/>
              </w:rPr>
            </w:pPr>
            <w:r>
              <w:rPr>
                <w:lang w:val="en-US"/>
              </w:rPr>
              <w:t>Adult single 1 hour ticket, in PLN</w:t>
            </w:r>
          </w:p>
        </w:tc>
      </w:tr>
      <w:tr w:rsidR="001A12C9" w:rsidTr="001A12C9">
        <w:trPr>
          <w:jc w:val="center"/>
        </w:trPr>
        <w:tc>
          <w:tcPr>
            <w:tcW w:w="1951" w:type="dxa"/>
          </w:tcPr>
          <w:p w:rsidR="001A12C9" w:rsidRDefault="001A12C9" w:rsidP="001A12C9">
            <w:pPr>
              <w:jc w:val="center"/>
              <w:rPr>
                <w:lang w:val="en-US"/>
              </w:rPr>
            </w:pPr>
            <w:proofErr w:type="spellStart"/>
            <w:r>
              <w:rPr>
                <w:lang w:val="en-US"/>
              </w:rPr>
              <w:t>Morawica</w:t>
            </w:r>
            <w:proofErr w:type="spellEnd"/>
          </w:p>
        </w:tc>
        <w:tc>
          <w:tcPr>
            <w:tcW w:w="2684" w:type="dxa"/>
          </w:tcPr>
          <w:p w:rsidR="001A12C9" w:rsidRDefault="001A12C9" w:rsidP="001A12C9">
            <w:pPr>
              <w:jc w:val="center"/>
              <w:rPr>
                <w:lang w:val="en-US"/>
              </w:rPr>
            </w:pPr>
            <w:r>
              <w:rPr>
                <w:lang w:val="en-US"/>
              </w:rPr>
              <w:t>9,5</w:t>
            </w:r>
          </w:p>
        </w:tc>
      </w:tr>
      <w:tr w:rsidR="001A12C9" w:rsidTr="001A12C9">
        <w:trPr>
          <w:jc w:val="center"/>
        </w:trPr>
        <w:tc>
          <w:tcPr>
            <w:tcW w:w="1951" w:type="dxa"/>
          </w:tcPr>
          <w:p w:rsidR="001A12C9" w:rsidRPr="001A12C9" w:rsidRDefault="001A12C9" w:rsidP="001A12C9">
            <w:pPr>
              <w:jc w:val="center"/>
            </w:pPr>
            <w:proofErr w:type="spellStart"/>
            <w:r>
              <w:rPr>
                <w:lang w:val="en-US"/>
              </w:rPr>
              <w:t>Ostrowiec</w:t>
            </w:r>
            <w:proofErr w:type="spellEnd"/>
            <w:r>
              <w:rPr>
                <w:lang w:val="en-US"/>
              </w:rPr>
              <w:t xml:space="preserve"> </w:t>
            </w:r>
            <w:r>
              <w:t>Świętokrzyski</w:t>
            </w:r>
          </w:p>
        </w:tc>
        <w:tc>
          <w:tcPr>
            <w:tcW w:w="2684" w:type="dxa"/>
          </w:tcPr>
          <w:p w:rsidR="001A12C9" w:rsidRDefault="001A12C9" w:rsidP="001A12C9">
            <w:pPr>
              <w:jc w:val="center"/>
              <w:rPr>
                <w:lang w:val="en-US"/>
              </w:rPr>
            </w:pPr>
            <w:r>
              <w:rPr>
                <w:lang w:val="en-US"/>
              </w:rPr>
              <w:t>8</w:t>
            </w:r>
          </w:p>
        </w:tc>
      </w:tr>
      <w:tr w:rsidR="001A12C9" w:rsidTr="001A12C9">
        <w:trPr>
          <w:jc w:val="center"/>
        </w:trPr>
        <w:tc>
          <w:tcPr>
            <w:tcW w:w="1951" w:type="dxa"/>
          </w:tcPr>
          <w:p w:rsidR="001A12C9" w:rsidRDefault="001A12C9" w:rsidP="001A12C9">
            <w:pPr>
              <w:jc w:val="center"/>
              <w:rPr>
                <w:lang w:val="en-US"/>
              </w:rPr>
            </w:pPr>
            <w:proofErr w:type="spellStart"/>
            <w:r>
              <w:rPr>
                <w:lang w:val="en-US"/>
              </w:rPr>
              <w:t>Nowiny</w:t>
            </w:r>
            <w:proofErr w:type="spellEnd"/>
          </w:p>
        </w:tc>
        <w:tc>
          <w:tcPr>
            <w:tcW w:w="2684" w:type="dxa"/>
          </w:tcPr>
          <w:p w:rsidR="001A12C9" w:rsidRDefault="001A12C9" w:rsidP="001A12C9">
            <w:pPr>
              <w:jc w:val="center"/>
              <w:rPr>
                <w:lang w:val="en-US"/>
              </w:rPr>
            </w:pPr>
            <w:r>
              <w:rPr>
                <w:lang w:val="en-US"/>
              </w:rPr>
              <w:t>10,5</w:t>
            </w:r>
          </w:p>
        </w:tc>
      </w:tr>
      <w:tr w:rsidR="001A12C9" w:rsidTr="001A12C9">
        <w:trPr>
          <w:jc w:val="center"/>
        </w:trPr>
        <w:tc>
          <w:tcPr>
            <w:tcW w:w="1951" w:type="dxa"/>
          </w:tcPr>
          <w:p w:rsidR="001A12C9" w:rsidRDefault="001A12C9" w:rsidP="001A12C9">
            <w:pPr>
              <w:jc w:val="center"/>
              <w:rPr>
                <w:lang w:val="en-US"/>
              </w:rPr>
            </w:pPr>
            <w:proofErr w:type="spellStart"/>
            <w:r>
              <w:rPr>
                <w:lang w:val="en-US"/>
              </w:rPr>
              <w:t>Strawczynek</w:t>
            </w:r>
            <w:proofErr w:type="spellEnd"/>
          </w:p>
        </w:tc>
        <w:tc>
          <w:tcPr>
            <w:tcW w:w="2684" w:type="dxa"/>
          </w:tcPr>
          <w:p w:rsidR="001A12C9" w:rsidRDefault="001A12C9" w:rsidP="001A12C9">
            <w:pPr>
              <w:jc w:val="center"/>
              <w:rPr>
                <w:lang w:val="en-US"/>
              </w:rPr>
            </w:pPr>
            <w:r>
              <w:rPr>
                <w:lang w:val="en-US"/>
              </w:rPr>
              <w:t>8,5-9,5</w:t>
            </w:r>
          </w:p>
        </w:tc>
      </w:tr>
      <w:tr w:rsidR="001A12C9" w:rsidTr="001A12C9">
        <w:trPr>
          <w:jc w:val="center"/>
        </w:trPr>
        <w:tc>
          <w:tcPr>
            <w:tcW w:w="1951" w:type="dxa"/>
          </w:tcPr>
          <w:p w:rsidR="001A12C9" w:rsidRDefault="001A12C9" w:rsidP="001A12C9">
            <w:pPr>
              <w:jc w:val="center"/>
              <w:rPr>
                <w:lang w:val="en-US"/>
              </w:rPr>
            </w:pPr>
            <w:proofErr w:type="spellStart"/>
            <w:r>
              <w:rPr>
                <w:lang w:val="en-US"/>
              </w:rPr>
              <w:t>Starachowice</w:t>
            </w:r>
            <w:proofErr w:type="spellEnd"/>
          </w:p>
        </w:tc>
        <w:tc>
          <w:tcPr>
            <w:tcW w:w="2684" w:type="dxa"/>
          </w:tcPr>
          <w:p w:rsidR="001A12C9" w:rsidRDefault="001A12C9" w:rsidP="001A12C9">
            <w:pPr>
              <w:jc w:val="center"/>
              <w:rPr>
                <w:lang w:val="en-US"/>
              </w:rPr>
            </w:pPr>
            <w:r>
              <w:rPr>
                <w:lang w:val="en-US"/>
              </w:rPr>
              <w:t>9</w:t>
            </w:r>
          </w:p>
        </w:tc>
      </w:tr>
      <w:tr w:rsidR="001A12C9" w:rsidTr="001A12C9">
        <w:trPr>
          <w:jc w:val="center"/>
        </w:trPr>
        <w:tc>
          <w:tcPr>
            <w:tcW w:w="1951" w:type="dxa"/>
          </w:tcPr>
          <w:p w:rsidR="001A12C9" w:rsidRDefault="001A12C9" w:rsidP="001A12C9">
            <w:pPr>
              <w:jc w:val="center"/>
              <w:rPr>
                <w:lang w:val="en-US"/>
              </w:rPr>
            </w:pPr>
            <w:proofErr w:type="spellStart"/>
            <w:r>
              <w:rPr>
                <w:lang w:val="en-US"/>
              </w:rPr>
              <w:t>Solec-Zdrój</w:t>
            </w:r>
            <w:proofErr w:type="spellEnd"/>
          </w:p>
        </w:tc>
        <w:tc>
          <w:tcPr>
            <w:tcW w:w="2684" w:type="dxa"/>
          </w:tcPr>
          <w:p w:rsidR="001A12C9" w:rsidRDefault="001A12C9" w:rsidP="001A12C9">
            <w:pPr>
              <w:jc w:val="center"/>
              <w:rPr>
                <w:lang w:val="en-US"/>
              </w:rPr>
            </w:pPr>
            <w:r>
              <w:rPr>
                <w:lang w:val="en-US"/>
              </w:rPr>
              <w:t>18</w:t>
            </w:r>
          </w:p>
        </w:tc>
      </w:tr>
    </w:tbl>
    <w:p w:rsidR="005733BC" w:rsidRPr="005733BC" w:rsidRDefault="005733BC" w:rsidP="001A12C9">
      <w:pPr>
        <w:rPr>
          <w:lang w:val="en-US"/>
        </w:rPr>
      </w:pPr>
      <w:r>
        <w:rPr>
          <w:lang w:val="en-US"/>
        </w:rPr>
        <w:t xml:space="preserve">Table 1. Prices of tickets in water parks in the region of </w:t>
      </w:r>
      <w:proofErr w:type="spellStart"/>
      <w:r w:rsidRPr="005733BC">
        <w:rPr>
          <w:lang w:val="en-US"/>
        </w:rPr>
        <w:t>Ś</w:t>
      </w:r>
      <w:r>
        <w:rPr>
          <w:lang w:val="en-US"/>
        </w:rPr>
        <w:t>więtokrzyskie</w:t>
      </w:r>
      <w:proofErr w:type="spellEnd"/>
      <w:r>
        <w:rPr>
          <w:lang w:val="en-US"/>
        </w:rPr>
        <w:t>, as of April 2015</w:t>
      </w:r>
    </w:p>
    <w:p w:rsidR="001A12C9" w:rsidRPr="008106CA" w:rsidRDefault="001A12C9" w:rsidP="001A12C9">
      <w:pPr>
        <w:rPr>
          <w:sz w:val="20"/>
          <w:szCs w:val="20"/>
          <w:lang w:val="en-US"/>
        </w:rPr>
      </w:pPr>
      <w:r w:rsidRPr="008106CA">
        <w:rPr>
          <w:sz w:val="20"/>
          <w:szCs w:val="20"/>
          <w:lang w:val="en-US"/>
        </w:rPr>
        <w:t>Source: author's own study, based on: www.olimpicstrawczyn.pl/index.php?id=232; www.basenymineralne.pl/pl,baseny,page,Cenniki,23,.html; www.mosir.ostrowiec.pl/cennik-mainmenu-61.html; www.perla.nowiny.com.pl/cennik; www.starachowice.eu/starachowice/web//uploads/pub/pages/page_199/text_images/CENNIK%20BAsen%202013-dobry.pdf; www.koralmorawica.pl/plywalnia_koral/cennik_uslug.html (accessed 1.04.2015)</w:t>
      </w:r>
    </w:p>
    <w:p w:rsidR="001A12C9" w:rsidRDefault="001A12C9" w:rsidP="001A12C9">
      <w:pPr>
        <w:rPr>
          <w:lang w:val="en-US"/>
        </w:rPr>
      </w:pPr>
      <w:r>
        <w:rPr>
          <w:lang w:val="en-US"/>
        </w:rPr>
        <w:t xml:space="preserve">It should be underlined here that the region of </w:t>
      </w:r>
      <w:proofErr w:type="spellStart"/>
      <w:r w:rsidRPr="001A12C9">
        <w:rPr>
          <w:lang w:val="en-US"/>
        </w:rPr>
        <w:t>Ś</w:t>
      </w:r>
      <w:r>
        <w:rPr>
          <w:lang w:val="en-US"/>
        </w:rPr>
        <w:t>więtokrzyskie</w:t>
      </w:r>
      <w:proofErr w:type="spellEnd"/>
      <w:r>
        <w:rPr>
          <w:lang w:val="en-US"/>
        </w:rPr>
        <w:t xml:space="preserve"> </w:t>
      </w:r>
      <w:r w:rsidR="00EC0D62">
        <w:rPr>
          <w:lang w:val="en-US"/>
        </w:rPr>
        <w:t>is one of the</w:t>
      </w:r>
      <w:r>
        <w:rPr>
          <w:lang w:val="en-US"/>
        </w:rPr>
        <w:t xml:space="preserve"> </w:t>
      </w:r>
      <w:r w:rsidR="00477B96">
        <w:rPr>
          <w:lang w:val="en-US"/>
        </w:rPr>
        <w:t xml:space="preserve">poorer Polish regions, with </w:t>
      </w:r>
      <w:r w:rsidR="00EC0D62">
        <w:rPr>
          <w:lang w:val="en-US"/>
        </w:rPr>
        <w:t>an</w:t>
      </w:r>
      <w:r w:rsidR="00477B96">
        <w:rPr>
          <w:lang w:val="en-US"/>
        </w:rPr>
        <w:t xml:space="preserve"> unemployment rate of 14,6% in April 2015 (</w:t>
      </w:r>
      <w:r w:rsidR="00EC0D62">
        <w:rPr>
          <w:lang w:val="en-US"/>
        </w:rPr>
        <w:t xml:space="preserve">the </w:t>
      </w:r>
      <w:r w:rsidR="00477B96">
        <w:rPr>
          <w:lang w:val="en-US"/>
        </w:rPr>
        <w:t>Polish average is 11,7%) and the average region</w:t>
      </w:r>
      <w:r w:rsidR="00EC0D62">
        <w:rPr>
          <w:lang w:val="en-US"/>
        </w:rPr>
        <w:t>al</w:t>
      </w:r>
      <w:r w:rsidR="00477B96">
        <w:rPr>
          <w:lang w:val="en-US"/>
        </w:rPr>
        <w:t xml:space="preserve"> salary is much below the average for the whole country. These figures, combined with the table 1, </w:t>
      </w:r>
      <w:r w:rsidR="00477B96">
        <w:rPr>
          <w:lang w:val="en-US"/>
        </w:rPr>
        <w:lastRenderedPageBreak/>
        <w:t>provoke a</w:t>
      </w:r>
      <w:r w:rsidR="00197E86">
        <w:rPr>
          <w:lang w:val="en-US"/>
        </w:rPr>
        <w:t>n important</w:t>
      </w:r>
      <w:r w:rsidR="00477B96">
        <w:rPr>
          <w:lang w:val="en-US"/>
        </w:rPr>
        <w:t xml:space="preserve"> question about the affordability of mineral swimming pools for </w:t>
      </w:r>
      <w:r w:rsidR="00EC0D62">
        <w:rPr>
          <w:lang w:val="en-US"/>
        </w:rPr>
        <w:t xml:space="preserve">the </w:t>
      </w:r>
      <w:r w:rsidR="00477B96">
        <w:rPr>
          <w:lang w:val="en-US"/>
        </w:rPr>
        <w:t xml:space="preserve">local community. According to the information presented on the official website of the project, around 270 people use the pools daily (however, it is not possible to verify how many of them are tourists or hotel guests). </w:t>
      </w:r>
    </w:p>
    <w:p w:rsidR="005733BC" w:rsidRDefault="00FE1C41" w:rsidP="001A12C9">
      <w:pPr>
        <w:rPr>
          <w:lang w:val="en-US"/>
        </w:rPr>
      </w:pPr>
      <w:r>
        <w:rPr>
          <w:lang w:val="en-US"/>
        </w:rPr>
        <w:t xml:space="preserve">The investment is also a substantial intervention in terms of reshaping the landscape of the </w:t>
      </w:r>
      <w:r w:rsidR="003D3D2F">
        <w:rPr>
          <w:lang w:val="en-US"/>
        </w:rPr>
        <w:t xml:space="preserve">town of </w:t>
      </w:r>
      <w:proofErr w:type="spellStart"/>
      <w:r w:rsidR="003D3D2F">
        <w:rPr>
          <w:lang w:val="en-US"/>
        </w:rPr>
        <w:t>Solec-Zdrój</w:t>
      </w:r>
      <w:proofErr w:type="spellEnd"/>
      <w:r>
        <w:rPr>
          <w:lang w:val="en-US"/>
        </w:rPr>
        <w:t>. The</w:t>
      </w:r>
      <w:r w:rsidR="003D3D2F">
        <w:rPr>
          <w:lang w:val="en-US"/>
        </w:rPr>
        <w:t xml:space="preserve"> additional</w:t>
      </w:r>
      <w:r>
        <w:rPr>
          <w:lang w:val="en-US"/>
        </w:rPr>
        <w:t xml:space="preserve"> question about depleting the springs may also be posed here. Assuming that the </w:t>
      </w:r>
      <w:r w:rsidR="00EC0D62">
        <w:rPr>
          <w:lang w:val="en-US"/>
        </w:rPr>
        <w:t>“</w:t>
      </w:r>
      <w:r>
        <w:rPr>
          <w:lang w:val="en-US"/>
        </w:rPr>
        <w:t>just city</w:t>
      </w:r>
      <w:r w:rsidR="00EC0D62">
        <w:rPr>
          <w:lang w:val="en-US"/>
        </w:rPr>
        <w:t>”</w:t>
      </w:r>
      <w:r>
        <w:rPr>
          <w:lang w:val="en-US"/>
        </w:rPr>
        <w:t xml:space="preserve"> is "a city in which public investment and regulation would produce equitable outcomes rather than support those already well off"</w:t>
      </w:r>
      <w:r w:rsidR="003D3D2F">
        <w:rPr>
          <w:lang w:val="en-US"/>
        </w:rPr>
        <w:t xml:space="preserve"> (</w:t>
      </w:r>
      <w:proofErr w:type="spellStart"/>
      <w:r w:rsidR="003D3D2F">
        <w:rPr>
          <w:lang w:val="en-US"/>
        </w:rPr>
        <w:t>Fainstein</w:t>
      </w:r>
      <w:proofErr w:type="spellEnd"/>
      <w:r w:rsidR="003D3D2F">
        <w:rPr>
          <w:lang w:val="en-US"/>
        </w:rPr>
        <w:t xml:space="preserve"> 2010, p. 3), it is a highly questionable project from the just city point of view.</w:t>
      </w:r>
      <w:r>
        <w:rPr>
          <w:lang w:val="en-US"/>
        </w:rPr>
        <w:t xml:space="preserve"> </w:t>
      </w:r>
    </w:p>
    <w:p w:rsidR="00197E86" w:rsidRPr="00605223" w:rsidRDefault="006200E3" w:rsidP="008106CA">
      <w:pPr>
        <w:pStyle w:val="Nagwek4"/>
        <w:rPr>
          <w:lang w:val="en-US"/>
        </w:rPr>
      </w:pPr>
      <w:bookmarkStart w:id="0" w:name="_GoBack"/>
      <w:r w:rsidRPr="006200E3">
        <w:rPr>
          <w:lang w:val="en-US"/>
        </w:rPr>
        <w:t xml:space="preserve">Energy performance contracting </w:t>
      </w:r>
      <w:r w:rsidRPr="008106CA">
        <w:t>p</w:t>
      </w:r>
      <w:proofErr w:type="spellStart"/>
      <w:r w:rsidRPr="006200E3">
        <w:rPr>
          <w:lang w:val="en-US"/>
        </w:rPr>
        <w:t>rojects</w:t>
      </w:r>
      <w:proofErr w:type="spellEnd"/>
    </w:p>
    <w:tbl>
      <w:tblPr>
        <w:tblStyle w:val="Tabela-Siatka"/>
        <w:tblW w:w="0" w:type="auto"/>
        <w:tblInd w:w="170" w:type="dxa"/>
        <w:tblLook w:val="04A0"/>
      </w:tblPr>
      <w:tblGrid>
        <w:gridCol w:w="9118"/>
      </w:tblGrid>
      <w:tr w:rsidR="00093BDF" w:rsidRPr="00093BDF" w:rsidTr="00093BDF">
        <w:tc>
          <w:tcPr>
            <w:tcW w:w="9212" w:type="dxa"/>
          </w:tcPr>
          <w:p w:rsidR="00093BDF" w:rsidRPr="00093BDF" w:rsidRDefault="00093BDF" w:rsidP="00093BDF">
            <w:pPr>
              <w:pStyle w:val="boxnumber"/>
              <w:numPr>
                <w:ilvl w:val="0"/>
                <w:numId w:val="0"/>
              </w:numPr>
              <w:ind w:left="170"/>
              <w:rPr>
                <w:b w:val="0"/>
                <w:i/>
                <w:sz w:val="18"/>
                <w:szCs w:val="18"/>
              </w:rPr>
            </w:pPr>
            <w:bookmarkStart w:id="1" w:name="_Ref383960745"/>
            <w:bookmarkStart w:id="2" w:name="_Toc404612590"/>
            <w:bookmarkEnd w:id="0"/>
            <w:r w:rsidRPr="00093BDF">
              <w:rPr>
                <w:b w:val="0"/>
                <w:i/>
                <w:sz w:val="18"/>
                <w:szCs w:val="18"/>
              </w:rPr>
              <w:t xml:space="preserve">PPP in thermo modernization: </w:t>
            </w:r>
            <w:proofErr w:type="spellStart"/>
            <w:r w:rsidRPr="00093BDF">
              <w:rPr>
                <w:b w:val="0"/>
                <w:i/>
                <w:sz w:val="18"/>
                <w:szCs w:val="18"/>
              </w:rPr>
              <w:t>Radzionków</w:t>
            </w:r>
            <w:proofErr w:type="spellEnd"/>
            <w:r w:rsidRPr="00093BDF">
              <w:rPr>
                <w:b w:val="0"/>
                <w:i/>
                <w:sz w:val="18"/>
                <w:szCs w:val="18"/>
              </w:rPr>
              <w:t xml:space="preserve"> case study</w:t>
            </w:r>
          </w:p>
          <w:p w:rsidR="00093BDF" w:rsidRPr="00093BDF" w:rsidRDefault="00093BDF" w:rsidP="00093BDF">
            <w:pPr>
              <w:pStyle w:val="wtabelistandard"/>
              <w:rPr>
                <w:sz w:val="18"/>
                <w:szCs w:val="18"/>
                <w:lang w:val="en-US"/>
              </w:rPr>
            </w:pPr>
            <w:r w:rsidRPr="00093BDF">
              <w:rPr>
                <w:sz w:val="18"/>
                <w:szCs w:val="18"/>
                <w:lang w:val="en-US"/>
              </w:rPr>
              <w:t xml:space="preserve">The goal of the project was to decrease heating energy consumption by more than 54% and decrease electricity usage by more than 39% in education buildings in the municipality of </w:t>
            </w:r>
            <w:proofErr w:type="spellStart"/>
            <w:r w:rsidRPr="00093BDF">
              <w:rPr>
                <w:sz w:val="18"/>
                <w:szCs w:val="18"/>
                <w:lang w:val="en-US"/>
              </w:rPr>
              <w:t>Radzionków</w:t>
            </w:r>
            <w:proofErr w:type="spellEnd"/>
            <w:r w:rsidRPr="00093BDF">
              <w:rPr>
                <w:sz w:val="18"/>
                <w:szCs w:val="18"/>
                <w:lang w:val="en-US"/>
              </w:rPr>
              <w:t>.</w:t>
            </w:r>
          </w:p>
          <w:p w:rsidR="00093BDF" w:rsidRPr="00093BDF" w:rsidRDefault="00093BDF" w:rsidP="00093BDF">
            <w:pPr>
              <w:pStyle w:val="wtabelistandard"/>
              <w:rPr>
                <w:sz w:val="18"/>
                <w:szCs w:val="18"/>
                <w:lang w:val="en-US"/>
              </w:rPr>
            </w:pPr>
            <w:r w:rsidRPr="00093BDF">
              <w:rPr>
                <w:sz w:val="18"/>
                <w:szCs w:val="18"/>
                <w:lang w:val="en-US"/>
              </w:rPr>
              <w:t>The private partner, Siemens, guarantees the level of energy savings. If that level is not achieved, Siemens is obliged to pay substantial compensation to the municipality. Because of that mechanism, the goal of public partner (i.e., the required level of efficiency) also becomes the goal of a private partner.</w:t>
            </w:r>
          </w:p>
          <w:p w:rsidR="00093BDF" w:rsidRPr="004942B0" w:rsidRDefault="00093BDF" w:rsidP="00093BDF">
            <w:pPr>
              <w:pStyle w:val="wtabelistandard"/>
              <w:rPr>
                <w:lang w:val="en-US"/>
              </w:rPr>
            </w:pPr>
            <w:r w:rsidRPr="00093BDF">
              <w:rPr>
                <w:sz w:val="18"/>
                <w:szCs w:val="18"/>
                <w:lang w:val="en-US"/>
              </w:rPr>
              <w:t>A report after the first year of operation indicated that the project was meeting the energy saving objectives designed in the PPP agreement (</w:t>
            </w:r>
            <w:proofErr w:type="spellStart"/>
            <w:r w:rsidRPr="00093BDF">
              <w:rPr>
                <w:sz w:val="18"/>
                <w:szCs w:val="18"/>
                <w:lang w:val="en-US"/>
              </w:rPr>
              <w:t>Raport</w:t>
            </w:r>
            <w:proofErr w:type="spellEnd"/>
            <w:r w:rsidRPr="00093BDF">
              <w:rPr>
                <w:sz w:val="18"/>
                <w:szCs w:val="18"/>
                <w:lang w:val="en-US"/>
              </w:rPr>
              <w:t xml:space="preserve"> </w:t>
            </w:r>
            <w:proofErr w:type="spellStart"/>
            <w:r w:rsidRPr="00093BDF">
              <w:rPr>
                <w:sz w:val="18"/>
                <w:szCs w:val="18"/>
                <w:lang w:val="en-US"/>
              </w:rPr>
              <w:t>Partnerstwo</w:t>
            </w:r>
            <w:proofErr w:type="spellEnd"/>
            <w:r w:rsidRPr="00093BDF">
              <w:rPr>
                <w:sz w:val="18"/>
                <w:szCs w:val="18"/>
                <w:lang w:val="en-US"/>
              </w:rPr>
              <w:t xml:space="preserve"> 2012, p. 192-153; </w:t>
            </w:r>
            <w:proofErr w:type="spellStart"/>
            <w:r w:rsidRPr="00093BDF">
              <w:rPr>
                <w:sz w:val="18"/>
                <w:szCs w:val="18"/>
                <w:lang w:val="en-US"/>
              </w:rPr>
              <w:t>Zamel</w:t>
            </w:r>
            <w:proofErr w:type="spellEnd"/>
            <w:r w:rsidRPr="00093BDF">
              <w:rPr>
                <w:sz w:val="18"/>
                <w:szCs w:val="18"/>
                <w:lang w:val="en-US"/>
              </w:rPr>
              <w:t xml:space="preserve"> 2012, pp.30-32).</w:t>
            </w:r>
          </w:p>
          <w:p w:rsidR="00093BDF" w:rsidRDefault="00093BDF" w:rsidP="00093BDF">
            <w:pPr>
              <w:pStyle w:val="boxnumber"/>
              <w:numPr>
                <w:ilvl w:val="0"/>
                <w:numId w:val="0"/>
              </w:numPr>
            </w:pPr>
          </w:p>
        </w:tc>
      </w:tr>
      <w:bookmarkEnd w:id="1"/>
      <w:bookmarkEnd w:id="2"/>
    </w:tbl>
    <w:p w:rsidR="008106CA" w:rsidRDefault="008106CA" w:rsidP="00EC3935">
      <w:pPr>
        <w:rPr>
          <w:lang w:val="en-US"/>
        </w:rPr>
      </w:pPr>
    </w:p>
    <w:p w:rsidR="00197E86" w:rsidRPr="00197E86" w:rsidRDefault="00295AA6" w:rsidP="00EC3935">
      <w:pPr>
        <w:rPr>
          <w:lang w:val="en-US"/>
        </w:rPr>
      </w:pPr>
      <w:r>
        <w:rPr>
          <w:lang w:val="en-US"/>
        </w:rPr>
        <w:t xml:space="preserve">There is a growing number of PPP projects in Poland aiming at bringing substantial savings in energy used in public buildings (schools, city halls etc.) One of the first one of this kind was undertaken in a town of </w:t>
      </w:r>
      <w:proofErr w:type="spellStart"/>
      <w:r>
        <w:rPr>
          <w:lang w:val="en-US"/>
        </w:rPr>
        <w:t>Radzionków</w:t>
      </w:r>
      <w:proofErr w:type="spellEnd"/>
      <w:r>
        <w:rPr>
          <w:lang w:val="en-US"/>
        </w:rPr>
        <w:t xml:space="preserve">. </w:t>
      </w:r>
      <w:r w:rsidR="003A6CAC">
        <w:rPr>
          <w:lang w:val="en-US"/>
        </w:rPr>
        <w:t>In this project, the p</w:t>
      </w:r>
      <w:r>
        <w:rPr>
          <w:lang w:val="en-US"/>
        </w:rPr>
        <w:t xml:space="preserve">rivate partner guarantees the efficiency effect of the project and is obliged to pay substantial fines if the </w:t>
      </w:r>
      <w:r w:rsidR="00CC7591">
        <w:rPr>
          <w:lang w:val="en-US"/>
        </w:rPr>
        <w:t>required quality</w:t>
      </w:r>
      <w:r>
        <w:rPr>
          <w:lang w:val="en-US"/>
        </w:rPr>
        <w:t xml:space="preserve"> is not met. The partner is remunerated from the savings (the difference in public spending on energy is paid to the private company during a given contract time)</w:t>
      </w:r>
      <w:r w:rsidR="003A6CAC">
        <w:rPr>
          <w:lang w:val="en-US"/>
        </w:rPr>
        <w:t>.</w:t>
      </w:r>
      <w:r>
        <w:rPr>
          <w:lang w:val="en-US"/>
        </w:rPr>
        <w:t xml:space="preserve">  Owing to </w:t>
      </w:r>
      <w:r w:rsidR="003A6CAC">
        <w:rPr>
          <w:lang w:val="en-US"/>
        </w:rPr>
        <w:t>this</w:t>
      </w:r>
      <w:r>
        <w:rPr>
          <w:lang w:val="en-US"/>
        </w:rPr>
        <w:t xml:space="preserve"> repayment scheme</w:t>
      </w:r>
      <w:r w:rsidR="003A6CAC">
        <w:rPr>
          <w:lang w:val="en-US"/>
        </w:rPr>
        <w:t>,</w:t>
      </w:r>
      <w:r>
        <w:rPr>
          <w:lang w:val="en-US"/>
        </w:rPr>
        <w:t xml:space="preserve"> the goal of public entity (</w:t>
      </w:r>
      <w:proofErr w:type="spellStart"/>
      <w:r>
        <w:rPr>
          <w:lang w:val="en-US"/>
        </w:rPr>
        <w:t>i</w:t>
      </w:r>
      <w:r w:rsidR="003A6CAC">
        <w:rPr>
          <w:lang w:val="en-US"/>
        </w:rPr>
        <w:t>.</w:t>
      </w:r>
      <w:r>
        <w:rPr>
          <w:lang w:val="en-US"/>
        </w:rPr>
        <w:t>e</w:t>
      </w:r>
      <w:proofErr w:type="spellEnd"/>
      <w:r>
        <w:rPr>
          <w:lang w:val="en-US"/>
        </w:rPr>
        <w:t>,</w:t>
      </w:r>
      <w:r w:rsidR="003A6CAC">
        <w:rPr>
          <w:lang w:val="en-US"/>
        </w:rPr>
        <w:t>,</w:t>
      </w:r>
      <w:r>
        <w:rPr>
          <w:lang w:val="en-US"/>
        </w:rPr>
        <w:t xml:space="preserve"> achievement of high energy efficiency in old municipal buildings) becomes also the goal of private partner. </w:t>
      </w:r>
      <w:r w:rsidR="00CC7591">
        <w:rPr>
          <w:lang w:val="en-US"/>
        </w:rPr>
        <w:t xml:space="preserve">Projects of this kind do not bring any burden for future generations </w:t>
      </w:r>
      <w:r w:rsidR="003A6CAC">
        <w:rPr>
          <w:lang w:val="en-US"/>
        </w:rPr>
        <w:t>because</w:t>
      </w:r>
      <w:r w:rsidR="00CC7591">
        <w:rPr>
          <w:lang w:val="en-US"/>
        </w:rPr>
        <w:t xml:space="preserve"> the payments are not postponed.</w:t>
      </w:r>
      <w:r w:rsidR="00F33FA7">
        <w:rPr>
          <w:lang w:val="en-US"/>
        </w:rPr>
        <w:t xml:space="preserve"> Furthermore, achieving better energy efficiency is one of </w:t>
      </w:r>
      <w:r w:rsidR="003A6CAC">
        <w:rPr>
          <w:lang w:val="en-US"/>
        </w:rPr>
        <w:t xml:space="preserve">the </w:t>
      </w:r>
      <w:r w:rsidR="00F33FA7">
        <w:rPr>
          <w:lang w:val="en-US"/>
        </w:rPr>
        <w:t>EU</w:t>
      </w:r>
      <w:r w:rsidR="003A6CAC">
        <w:rPr>
          <w:lang w:val="en-US"/>
        </w:rPr>
        <w:t>’s</w:t>
      </w:r>
      <w:r w:rsidR="00F33FA7">
        <w:rPr>
          <w:lang w:val="en-US"/>
        </w:rPr>
        <w:t xml:space="preserve"> priorities.</w:t>
      </w:r>
    </w:p>
    <w:p w:rsidR="00197E86" w:rsidRDefault="00CC7591" w:rsidP="008106CA">
      <w:pPr>
        <w:pStyle w:val="Nagwek4"/>
        <w:rPr>
          <w:lang w:val="en-US"/>
        </w:rPr>
      </w:pPr>
      <w:r>
        <w:rPr>
          <w:lang w:val="en-US"/>
        </w:rPr>
        <w:t xml:space="preserve">Railway station project: </w:t>
      </w:r>
      <w:proofErr w:type="spellStart"/>
      <w:r>
        <w:rPr>
          <w:lang w:val="en-US"/>
        </w:rPr>
        <w:t>Sopot</w:t>
      </w:r>
      <w:proofErr w:type="spellEnd"/>
    </w:p>
    <w:tbl>
      <w:tblPr>
        <w:tblStyle w:val="Tabela-Siatka"/>
        <w:tblW w:w="0" w:type="auto"/>
        <w:tblInd w:w="113" w:type="dxa"/>
        <w:tblLook w:val="04A0"/>
      </w:tblPr>
      <w:tblGrid>
        <w:gridCol w:w="9175"/>
      </w:tblGrid>
      <w:tr w:rsidR="00093BDF" w:rsidRPr="00093BDF" w:rsidTr="00093BDF">
        <w:tc>
          <w:tcPr>
            <w:tcW w:w="9212" w:type="dxa"/>
          </w:tcPr>
          <w:p w:rsidR="00093BDF" w:rsidRPr="00093BDF" w:rsidRDefault="00093BDF" w:rsidP="00093BDF">
            <w:pPr>
              <w:pStyle w:val="wtabelistandard"/>
              <w:rPr>
                <w:i/>
                <w:sz w:val="18"/>
                <w:szCs w:val="18"/>
                <w:lang w:val="en-US"/>
              </w:rPr>
            </w:pPr>
            <w:proofErr w:type="spellStart"/>
            <w:r w:rsidRPr="00093BDF">
              <w:rPr>
                <w:i/>
                <w:sz w:val="18"/>
                <w:szCs w:val="18"/>
                <w:lang w:val="en-US"/>
              </w:rPr>
              <w:t>Sopot</w:t>
            </w:r>
            <w:proofErr w:type="spellEnd"/>
            <w:r w:rsidRPr="00093BDF">
              <w:rPr>
                <w:i/>
                <w:sz w:val="18"/>
                <w:szCs w:val="18"/>
                <w:lang w:val="en-US"/>
              </w:rPr>
              <w:t>: key facts</w:t>
            </w:r>
          </w:p>
          <w:p w:rsidR="00093BDF" w:rsidRPr="00093BDF" w:rsidRDefault="00093BDF" w:rsidP="00093BDF">
            <w:pPr>
              <w:pStyle w:val="wtabelistandard"/>
              <w:rPr>
                <w:sz w:val="18"/>
                <w:szCs w:val="18"/>
                <w:lang w:val="en-US"/>
              </w:rPr>
            </w:pPr>
            <w:r w:rsidRPr="00093BDF">
              <w:rPr>
                <w:sz w:val="18"/>
                <w:szCs w:val="18"/>
                <w:lang w:val="en-US"/>
              </w:rPr>
              <w:t>The objectives of the project are to revitalize the railway station area, redesign the transport infrastructure in order to solve increasing transport problems, and create an upscale city quarter.</w:t>
            </w:r>
          </w:p>
          <w:p w:rsidR="00093BDF" w:rsidRPr="00093BDF" w:rsidRDefault="00093BDF" w:rsidP="00093BDF">
            <w:pPr>
              <w:pStyle w:val="wtabelistandard"/>
              <w:rPr>
                <w:sz w:val="18"/>
                <w:szCs w:val="18"/>
                <w:lang w:val="en-US"/>
              </w:rPr>
            </w:pPr>
            <w:r w:rsidRPr="00093BDF">
              <w:rPr>
                <w:sz w:val="18"/>
                <w:szCs w:val="18"/>
                <w:lang w:val="en-US"/>
              </w:rPr>
              <w:t xml:space="preserve">The plan for this regeneration is that the Polish Railway company will sell two pieces of land to the city council, and will also give the city council six additional pieces of land in exchange for a new railway station building that will be built by the private partner. </w:t>
            </w:r>
          </w:p>
          <w:p w:rsidR="00093BDF" w:rsidRPr="00093BDF" w:rsidRDefault="00093BDF" w:rsidP="00093BDF">
            <w:pPr>
              <w:pStyle w:val="wtabelistandard"/>
              <w:rPr>
                <w:sz w:val="18"/>
                <w:szCs w:val="18"/>
                <w:lang w:val="en-US"/>
              </w:rPr>
            </w:pPr>
            <w:r w:rsidRPr="00093BDF">
              <w:rPr>
                <w:sz w:val="18"/>
                <w:szCs w:val="18"/>
                <w:lang w:val="en-US"/>
              </w:rPr>
              <w:t xml:space="preserve">The city of </w:t>
            </w:r>
            <w:proofErr w:type="spellStart"/>
            <w:r w:rsidRPr="00093BDF">
              <w:rPr>
                <w:sz w:val="18"/>
                <w:szCs w:val="18"/>
                <w:lang w:val="en-US"/>
              </w:rPr>
              <w:t>Sopot</w:t>
            </w:r>
            <w:proofErr w:type="spellEnd"/>
            <w:r w:rsidRPr="00093BDF">
              <w:rPr>
                <w:sz w:val="18"/>
                <w:szCs w:val="18"/>
                <w:lang w:val="en-US"/>
              </w:rPr>
              <w:t xml:space="preserve"> and the private partner signed a PPP agreement, in which the private company is obliged to: </w:t>
            </w:r>
          </w:p>
          <w:p w:rsidR="00093BDF" w:rsidRPr="00093BDF" w:rsidRDefault="00093BDF" w:rsidP="00093BDF">
            <w:pPr>
              <w:pStyle w:val="wyroznienietabela"/>
              <w:rPr>
                <w:sz w:val="18"/>
                <w:szCs w:val="18"/>
              </w:rPr>
            </w:pPr>
            <w:r w:rsidRPr="00093BDF">
              <w:rPr>
                <w:sz w:val="18"/>
                <w:szCs w:val="18"/>
              </w:rPr>
              <w:t>build a hotel, parking ramps, and commercial buildings, all of which it will own later</w:t>
            </w:r>
          </w:p>
          <w:p w:rsidR="00093BDF" w:rsidRPr="00093BDF" w:rsidRDefault="00093BDF" w:rsidP="00093BDF">
            <w:pPr>
              <w:pStyle w:val="wyroznienietabela"/>
              <w:rPr>
                <w:sz w:val="18"/>
                <w:szCs w:val="18"/>
              </w:rPr>
            </w:pPr>
            <w:r w:rsidRPr="00093BDF">
              <w:rPr>
                <w:sz w:val="18"/>
                <w:szCs w:val="18"/>
              </w:rPr>
              <w:t xml:space="preserve">build a new road intersection with a roundabout and green spaces, ownership of which will pass to the city of </w:t>
            </w:r>
            <w:proofErr w:type="spellStart"/>
            <w:r w:rsidRPr="00093BDF">
              <w:rPr>
                <w:sz w:val="18"/>
                <w:szCs w:val="18"/>
              </w:rPr>
              <w:t>Sopot</w:t>
            </w:r>
            <w:proofErr w:type="spellEnd"/>
          </w:p>
          <w:p w:rsidR="00093BDF" w:rsidRPr="00093BDF" w:rsidRDefault="00093BDF" w:rsidP="00093BDF">
            <w:pPr>
              <w:pStyle w:val="wyroznienietabela"/>
              <w:rPr>
                <w:sz w:val="18"/>
                <w:szCs w:val="18"/>
              </w:rPr>
            </w:pPr>
            <w:r w:rsidRPr="00093BDF">
              <w:rPr>
                <w:sz w:val="18"/>
                <w:szCs w:val="18"/>
              </w:rPr>
              <w:t>build a new railway station terminal, ownership of which will pass to the Polish Railways company.</w:t>
            </w:r>
          </w:p>
          <w:p w:rsidR="00093BDF" w:rsidRPr="00093BDF" w:rsidRDefault="00093BDF" w:rsidP="00093BDF">
            <w:pPr>
              <w:pStyle w:val="wtabelistandard"/>
              <w:ind w:left="0" w:firstLine="0"/>
              <w:rPr>
                <w:sz w:val="18"/>
                <w:szCs w:val="18"/>
                <w:lang w:val="en-US"/>
              </w:rPr>
            </w:pPr>
            <w:r w:rsidRPr="00093BDF">
              <w:rPr>
                <w:sz w:val="18"/>
                <w:szCs w:val="18"/>
                <w:lang w:val="en-US"/>
              </w:rPr>
              <w:t>The private partner will be paid back from revenues generated by a commercial part of the project (hotel, parking ramps, commercial buildings) without any direct payment from the city council (</w:t>
            </w:r>
            <w:proofErr w:type="spellStart"/>
            <w:r w:rsidRPr="00093BDF">
              <w:rPr>
                <w:sz w:val="18"/>
                <w:szCs w:val="18"/>
                <w:lang w:val="en-US"/>
              </w:rPr>
              <w:t>Raport</w:t>
            </w:r>
            <w:proofErr w:type="spellEnd"/>
            <w:r w:rsidRPr="00093BDF">
              <w:rPr>
                <w:sz w:val="18"/>
                <w:szCs w:val="18"/>
                <w:lang w:val="en-US"/>
              </w:rPr>
              <w:t xml:space="preserve"> </w:t>
            </w:r>
            <w:proofErr w:type="spellStart"/>
            <w:r w:rsidRPr="00093BDF">
              <w:rPr>
                <w:sz w:val="18"/>
                <w:szCs w:val="18"/>
                <w:lang w:val="en-US"/>
              </w:rPr>
              <w:t>Partnerstwo</w:t>
            </w:r>
            <w:proofErr w:type="spellEnd"/>
            <w:r w:rsidRPr="00093BDF">
              <w:rPr>
                <w:sz w:val="18"/>
                <w:szCs w:val="18"/>
                <w:lang w:val="en-US"/>
              </w:rPr>
              <w:t>, 2012, pp. 178-180).</w:t>
            </w:r>
          </w:p>
          <w:p w:rsidR="00093BDF" w:rsidRPr="00093BDF" w:rsidRDefault="00093BDF" w:rsidP="00093BDF">
            <w:pPr>
              <w:pStyle w:val="wtabelistandard"/>
              <w:rPr>
                <w:sz w:val="18"/>
                <w:szCs w:val="18"/>
                <w:lang w:val="en-US"/>
              </w:rPr>
            </w:pPr>
          </w:p>
          <w:p w:rsidR="00093BDF" w:rsidRPr="00093BDF" w:rsidRDefault="00093BDF" w:rsidP="00093BDF">
            <w:pPr>
              <w:pStyle w:val="wtabelistandard"/>
              <w:ind w:left="0" w:firstLine="0"/>
              <w:rPr>
                <w:noProof/>
                <w:lang w:val="en-US"/>
              </w:rPr>
            </w:pPr>
            <w:r w:rsidRPr="00093BDF">
              <w:rPr>
                <w:sz w:val="18"/>
                <w:szCs w:val="18"/>
                <w:lang w:val="en-US"/>
              </w:rPr>
              <w:t>One of the resources used in the mix of financing for this project is a low-interest JESSICA loan. This is the first hybrid PPP project in Europe (combining PPP with EU funds); it is based on a revolving credit instrument instead of a typical EU grant.</w:t>
            </w:r>
          </w:p>
        </w:tc>
      </w:tr>
    </w:tbl>
    <w:p w:rsidR="00093BDF" w:rsidRPr="00093BDF" w:rsidRDefault="00093BDF" w:rsidP="00093BDF">
      <w:pPr>
        <w:pStyle w:val="wtabelistandard"/>
        <w:rPr>
          <w:noProof/>
          <w:lang w:val="en-US"/>
        </w:rPr>
      </w:pPr>
    </w:p>
    <w:p w:rsidR="00CC7591" w:rsidRDefault="00CC7591" w:rsidP="00CC7591">
      <w:pPr>
        <w:rPr>
          <w:lang w:val="en-US"/>
        </w:rPr>
      </w:pPr>
      <w:proofErr w:type="spellStart"/>
      <w:r w:rsidRPr="00CC7591">
        <w:rPr>
          <w:lang w:val="en-US"/>
        </w:rPr>
        <w:lastRenderedPageBreak/>
        <w:t>Sopot</w:t>
      </w:r>
      <w:proofErr w:type="spellEnd"/>
      <w:r w:rsidRPr="00CC7591">
        <w:rPr>
          <w:lang w:val="en-US"/>
        </w:rPr>
        <w:t xml:space="preserve"> is a typical e</w:t>
      </w:r>
      <w:r>
        <w:rPr>
          <w:lang w:val="en-US"/>
        </w:rPr>
        <w:t xml:space="preserve">xample of projects </w:t>
      </w:r>
      <w:r w:rsidR="003A6CAC">
        <w:rPr>
          <w:lang w:val="en-US"/>
        </w:rPr>
        <w:t xml:space="preserve">aimed </w:t>
      </w:r>
      <w:r>
        <w:rPr>
          <w:lang w:val="en-US"/>
        </w:rPr>
        <w:t xml:space="preserve">at substantial improvement of railway station infrastructure in Poland. </w:t>
      </w:r>
      <w:r w:rsidR="003A6CAC">
        <w:rPr>
          <w:lang w:val="en-US"/>
        </w:rPr>
        <w:t>In this project, the p</w:t>
      </w:r>
      <w:r>
        <w:rPr>
          <w:lang w:val="en-US"/>
        </w:rPr>
        <w:t>rivate partner is responsible for redevelopment of the whole area, construction of new building for the railway station, reshaping the roads</w:t>
      </w:r>
      <w:r w:rsidR="003A6CAC">
        <w:rPr>
          <w:lang w:val="en-US"/>
        </w:rPr>
        <w:t>,</w:t>
      </w:r>
      <w:r>
        <w:rPr>
          <w:lang w:val="en-US"/>
        </w:rPr>
        <w:t xml:space="preserve"> and regenerat</w:t>
      </w:r>
      <w:r w:rsidR="003A6CAC">
        <w:rPr>
          <w:lang w:val="en-US"/>
        </w:rPr>
        <w:t>ing</w:t>
      </w:r>
      <w:r>
        <w:rPr>
          <w:lang w:val="en-US"/>
        </w:rPr>
        <w:t xml:space="preserve"> the place</w:t>
      </w:r>
      <w:r w:rsidR="003A6CAC">
        <w:rPr>
          <w:lang w:val="en-US"/>
        </w:rPr>
        <w:t xml:space="preserve"> overall</w:t>
      </w:r>
      <w:r>
        <w:rPr>
          <w:lang w:val="en-US"/>
        </w:rPr>
        <w:t xml:space="preserve">. </w:t>
      </w:r>
      <w:r w:rsidRPr="00CC7591">
        <w:rPr>
          <w:lang w:val="en-US"/>
        </w:rPr>
        <w:t xml:space="preserve">As a reward, the partner may </w:t>
      </w:r>
      <w:r w:rsidR="0009188E">
        <w:rPr>
          <w:lang w:val="en-US"/>
        </w:rPr>
        <w:t>construct</w:t>
      </w:r>
      <w:r w:rsidRPr="00CC7591">
        <w:rPr>
          <w:lang w:val="en-US"/>
        </w:rPr>
        <w:t xml:space="preserve"> also some </w:t>
      </w:r>
      <w:r>
        <w:rPr>
          <w:lang w:val="en-US"/>
        </w:rPr>
        <w:t>buildings for commercial purpose</w:t>
      </w:r>
      <w:r w:rsidR="003A6CAC">
        <w:rPr>
          <w:lang w:val="en-US"/>
        </w:rPr>
        <w:t>s</w:t>
      </w:r>
      <w:r>
        <w:rPr>
          <w:lang w:val="en-US"/>
        </w:rPr>
        <w:t xml:space="preserve"> (shopping centre, offices and hotels). </w:t>
      </w:r>
      <w:r w:rsidRPr="00CC7591">
        <w:rPr>
          <w:lang w:val="en-US"/>
        </w:rPr>
        <w:t>The profits achieved using the</w:t>
      </w:r>
      <w:r>
        <w:rPr>
          <w:lang w:val="en-US"/>
        </w:rPr>
        <w:t xml:space="preserve"> commercial part of the project are the only source of repayment for the private partner. </w:t>
      </w:r>
      <w:r w:rsidR="00F51E45">
        <w:rPr>
          <w:lang w:val="en-US"/>
        </w:rPr>
        <w:t xml:space="preserve">Moreover, the </w:t>
      </w:r>
      <w:r w:rsidR="003A6CAC">
        <w:rPr>
          <w:lang w:val="en-US"/>
        </w:rPr>
        <w:t xml:space="preserve">potential private partners </w:t>
      </w:r>
      <w:r w:rsidR="00F51E45">
        <w:rPr>
          <w:lang w:val="en-US"/>
        </w:rPr>
        <w:t>competed on the basis of the concession sum offered (</w:t>
      </w:r>
      <w:proofErr w:type="spellStart"/>
      <w:r w:rsidR="00F51E45">
        <w:rPr>
          <w:lang w:val="en-US"/>
        </w:rPr>
        <w:t>Sopot</w:t>
      </w:r>
      <w:proofErr w:type="spellEnd"/>
      <w:r w:rsidR="00F51E45">
        <w:rPr>
          <w:lang w:val="en-US"/>
        </w:rPr>
        <w:t xml:space="preserve"> authorities decided that the private partner had to pay for </w:t>
      </w:r>
      <w:r w:rsidR="0009188E">
        <w:rPr>
          <w:lang w:val="en-US"/>
        </w:rPr>
        <w:t xml:space="preserve">the </w:t>
      </w:r>
      <w:r w:rsidR="00F51E45">
        <w:rPr>
          <w:lang w:val="en-US"/>
        </w:rPr>
        <w:t>investment right</w:t>
      </w:r>
      <w:r w:rsidR="003A6CAC">
        <w:rPr>
          <w:lang w:val="en-US"/>
        </w:rPr>
        <w:t>s</w:t>
      </w:r>
      <w:r w:rsidR="00F51E45">
        <w:rPr>
          <w:lang w:val="en-US"/>
        </w:rPr>
        <w:t xml:space="preserve"> </w:t>
      </w:r>
      <w:r w:rsidR="0009188E">
        <w:rPr>
          <w:lang w:val="en-US"/>
        </w:rPr>
        <w:t>o</w:t>
      </w:r>
      <w:r w:rsidR="00F51E45">
        <w:rPr>
          <w:lang w:val="en-US"/>
        </w:rPr>
        <w:t>n a unique public piece of land</w:t>
      </w:r>
      <w:r w:rsidR="00F51E45">
        <w:rPr>
          <w:rStyle w:val="Odwoanieprzypisukocowego"/>
          <w:lang w:val="en-US"/>
        </w:rPr>
        <w:endnoteReference w:id="3"/>
      </w:r>
      <w:r w:rsidR="00F51E45">
        <w:rPr>
          <w:lang w:val="en-US"/>
        </w:rPr>
        <w:t>).</w:t>
      </w:r>
    </w:p>
    <w:p w:rsidR="00CC7591" w:rsidRPr="00C9106F" w:rsidRDefault="00CC7591" w:rsidP="00F51E45">
      <w:pPr>
        <w:rPr>
          <w:lang w:val="en-US"/>
        </w:rPr>
      </w:pPr>
      <w:r>
        <w:rPr>
          <w:lang w:val="en-US"/>
        </w:rPr>
        <w:t xml:space="preserve">On one hand, </w:t>
      </w:r>
      <w:r w:rsidR="003A6CAC">
        <w:rPr>
          <w:lang w:val="en-US"/>
        </w:rPr>
        <w:t xml:space="preserve">this </w:t>
      </w:r>
      <w:r>
        <w:rPr>
          <w:lang w:val="en-US"/>
        </w:rPr>
        <w:t>scheme seem to be honest and it is</w:t>
      </w:r>
      <w:r w:rsidR="00F51E45">
        <w:rPr>
          <w:lang w:val="en-US"/>
        </w:rPr>
        <w:t xml:space="preserve"> a</w:t>
      </w:r>
      <w:r>
        <w:rPr>
          <w:lang w:val="en-US"/>
        </w:rPr>
        <w:t xml:space="preserve"> market-oriented</w:t>
      </w:r>
      <w:r w:rsidR="00F51E45">
        <w:rPr>
          <w:lang w:val="en-US"/>
        </w:rPr>
        <w:t xml:space="preserve"> one</w:t>
      </w:r>
      <w:r>
        <w:rPr>
          <w:lang w:val="en-US"/>
        </w:rPr>
        <w:t xml:space="preserve">. </w:t>
      </w:r>
      <w:r w:rsidRPr="00CC7591">
        <w:rPr>
          <w:lang w:val="en-US"/>
        </w:rPr>
        <w:t>However, if we assess it</w:t>
      </w:r>
      <w:r>
        <w:rPr>
          <w:lang w:val="en-US"/>
        </w:rPr>
        <w:t xml:space="preserve"> </w:t>
      </w:r>
      <w:r w:rsidR="003A6CAC">
        <w:rPr>
          <w:lang w:val="en-US"/>
        </w:rPr>
        <w:t>from the</w:t>
      </w:r>
      <w:r>
        <w:rPr>
          <w:lang w:val="en-US"/>
        </w:rPr>
        <w:t xml:space="preserve"> wider </w:t>
      </w:r>
      <w:r w:rsidR="003A6CAC">
        <w:rPr>
          <w:lang w:val="en-US"/>
        </w:rPr>
        <w:t xml:space="preserve">perspective </w:t>
      </w:r>
      <w:r>
        <w:rPr>
          <w:lang w:val="en-US"/>
        </w:rPr>
        <w:t xml:space="preserve">of responsibility towards future generations, it appears that local authorities of </w:t>
      </w:r>
      <w:proofErr w:type="spellStart"/>
      <w:r>
        <w:rPr>
          <w:lang w:val="en-US"/>
        </w:rPr>
        <w:t>Sopot</w:t>
      </w:r>
      <w:proofErr w:type="spellEnd"/>
      <w:r>
        <w:rPr>
          <w:lang w:val="en-US"/>
        </w:rPr>
        <w:t xml:space="preserve"> decided on the use of the place for a </w:t>
      </w:r>
      <w:r w:rsidR="00F51E45">
        <w:rPr>
          <w:lang w:val="en-US"/>
        </w:rPr>
        <w:t xml:space="preserve">very </w:t>
      </w:r>
      <w:r>
        <w:rPr>
          <w:lang w:val="en-US"/>
        </w:rPr>
        <w:t xml:space="preserve">long time. </w:t>
      </w:r>
      <w:r w:rsidRPr="00F51E45">
        <w:rPr>
          <w:lang w:val="en-US"/>
        </w:rPr>
        <w:t xml:space="preserve">Given that </w:t>
      </w:r>
      <w:r w:rsidR="00F51E45" w:rsidRPr="00F51E45">
        <w:rPr>
          <w:lang w:val="en-US"/>
        </w:rPr>
        <w:t>consumption patter</w:t>
      </w:r>
      <w:r w:rsidR="00F51E45">
        <w:rPr>
          <w:lang w:val="en-US"/>
        </w:rPr>
        <w:t>n</w:t>
      </w:r>
      <w:r w:rsidR="00F51E45" w:rsidRPr="00F51E45">
        <w:rPr>
          <w:lang w:val="en-US"/>
        </w:rPr>
        <w:t xml:space="preserve">s of the future may </w:t>
      </w:r>
      <w:r w:rsidR="00F51E45">
        <w:rPr>
          <w:lang w:val="en-US"/>
        </w:rPr>
        <w:t xml:space="preserve">differ from </w:t>
      </w:r>
      <w:r w:rsidR="003A6CAC">
        <w:rPr>
          <w:lang w:val="en-US"/>
        </w:rPr>
        <w:t>current ones</w:t>
      </w:r>
      <w:r w:rsidR="00F51E45">
        <w:rPr>
          <w:lang w:val="en-US"/>
        </w:rPr>
        <w:t xml:space="preserve">, it may appear that we did not leave much public space </w:t>
      </w:r>
      <w:proofErr w:type="spellStart"/>
      <w:r w:rsidR="008444D6">
        <w:rPr>
          <w:lang w:val="en-US"/>
        </w:rPr>
        <w:t>u</w:t>
      </w:r>
      <w:r w:rsidR="00F51E45">
        <w:rPr>
          <w:lang w:val="en-US"/>
        </w:rPr>
        <w:t>nbuilt</w:t>
      </w:r>
      <w:proofErr w:type="spellEnd"/>
      <w:r w:rsidR="00F51E45">
        <w:rPr>
          <w:lang w:val="en-US"/>
        </w:rPr>
        <w:t xml:space="preserve">. </w:t>
      </w:r>
      <w:r w:rsidR="00F51E45" w:rsidRPr="00C9106F">
        <w:rPr>
          <w:lang w:val="en-US"/>
        </w:rPr>
        <w:t xml:space="preserve">That reservation is </w:t>
      </w:r>
      <w:r w:rsidR="0009188E">
        <w:rPr>
          <w:lang w:val="en-US"/>
        </w:rPr>
        <w:t xml:space="preserve">actually </w:t>
      </w:r>
      <w:r w:rsidR="00F51E45" w:rsidRPr="00C9106F">
        <w:rPr>
          <w:lang w:val="en-US"/>
        </w:rPr>
        <w:t>valid for majority of actual investments</w:t>
      </w:r>
      <w:r w:rsidR="00C9106F" w:rsidRPr="00C9106F">
        <w:rPr>
          <w:lang w:val="en-US"/>
        </w:rPr>
        <w:t xml:space="preserve"> </w:t>
      </w:r>
      <w:r w:rsidR="003A6CAC">
        <w:rPr>
          <w:lang w:val="en-US"/>
        </w:rPr>
        <w:t>within the</w:t>
      </w:r>
      <w:r w:rsidR="00C9106F" w:rsidRPr="00C9106F">
        <w:rPr>
          <w:lang w:val="en-US"/>
        </w:rPr>
        <w:t xml:space="preserve"> </w:t>
      </w:r>
      <w:r w:rsidR="00C9106F">
        <w:rPr>
          <w:lang w:val="en-US"/>
        </w:rPr>
        <w:t>real estate market</w:t>
      </w:r>
      <w:r w:rsidR="00F51E45" w:rsidRPr="00C9106F">
        <w:rPr>
          <w:lang w:val="en-US"/>
        </w:rPr>
        <w:t>.</w:t>
      </w:r>
    </w:p>
    <w:p w:rsidR="008F54FF" w:rsidRPr="00664A07" w:rsidRDefault="00563E21" w:rsidP="0009188E">
      <w:pPr>
        <w:pStyle w:val="Nagwek2"/>
        <w:rPr>
          <w:lang w:val="en-US"/>
        </w:rPr>
      </w:pPr>
      <w:r>
        <w:rPr>
          <w:lang w:val="en-US"/>
        </w:rPr>
        <w:t xml:space="preserve">5. </w:t>
      </w:r>
      <w:r w:rsidR="008F54FF" w:rsidRPr="00664A07">
        <w:rPr>
          <w:lang w:val="en-US"/>
        </w:rPr>
        <w:t>Conclud</w:t>
      </w:r>
      <w:r w:rsidR="008F54FF" w:rsidRPr="00A84C27">
        <w:rPr>
          <w:lang w:val="en-US"/>
        </w:rPr>
        <w:t>i</w:t>
      </w:r>
      <w:r w:rsidR="008F54FF" w:rsidRPr="00664A07">
        <w:rPr>
          <w:lang w:val="en-US"/>
        </w:rPr>
        <w:t>ng remarks</w:t>
      </w:r>
    </w:p>
    <w:p w:rsidR="008F54FF" w:rsidRDefault="00FD3B47" w:rsidP="00EC3935">
      <w:pPr>
        <w:rPr>
          <w:lang w:val="en-US"/>
        </w:rPr>
      </w:pPr>
      <w:r>
        <w:rPr>
          <w:lang w:val="en-US"/>
        </w:rPr>
        <w:t xml:space="preserve">Investment decisions (especially </w:t>
      </w:r>
      <w:r w:rsidR="003A6CAC">
        <w:rPr>
          <w:lang w:val="en-US"/>
        </w:rPr>
        <w:t>those concerning</w:t>
      </w:r>
      <w:r>
        <w:rPr>
          <w:lang w:val="en-US"/>
        </w:rPr>
        <w:t xml:space="preserve"> core infrastructure assets) undertaken by public authorities influence land use within their jurisdiction. The quantity of land (both publicly and privately-owned) is obviously</w:t>
      </w:r>
      <w:r w:rsidR="008444D6">
        <w:rPr>
          <w:lang w:val="en-US"/>
        </w:rPr>
        <w:t xml:space="preserve"> finite</w:t>
      </w:r>
      <w:r>
        <w:rPr>
          <w:lang w:val="en-US"/>
        </w:rPr>
        <w:t xml:space="preserve"> </w:t>
      </w:r>
      <w:r w:rsidR="008444D6">
        <w:rPr>
          <w:lang w:val="en-US"/>
        </w:rPr>
        <w:t>a</w:t>
      </w:r>
      <w:r>
        <w:rPr>
          <w:lang w:val="en-US"/>
        </w:rPr>
        <w:t>nd real estate investments change the place</w:t>
      </w:r>
      <w:r w:rsidR="003A6CAC">
        <w:rPr>
          <w:lang w:val="en-US"/>
        </w:rPr>
        <w:t xml:space="preserve"> and</w:t>
      </w:r>
      <w:r>
        <w:rPr>
          <w:lang w:val="en-US"/>
        </w:rPr>
        <w:t xml:space="preserve"> the landscape for ages (if not for centuries). They affect the quality of public space that belongs to the category of public goods</w:t>
      </w:r>
      <w:r w:rsidR="003A6CAC">
        <w:rPr>
          <w:lang w:val="en-US"/>
        </w:rPr>
        <w:t>,</w:t>
      </w:r>
      <w:r>
        <w:rPr>
          <w:lang w:val="en-US"/>
        </w:rPr>
        <w:t xml:space="preserve"> and </w:t>
      </w:r>
      <w:r w:rsidR="003A6CAC">
        <w:rPr>
          <w:lang w:val="en-US"/>
        </w:rPr>
        <w:t xml:space="preserve">therefore </w:t>
      </w:r>
      <w:r>
        <w:rPr>
          <w:lang w:val="en-US"/>
        </w:rPr>
        <w:t xml:space="preserve">should be especially protected by the </w:t>
      </w:r>
      <w:r w:rsidR="003A6CAC">
        <w:rPr>
          <w:lang w:val="en-US"/>
        </w:rPr>
        <w:t>public authorities</w:t>
      </w:r>
      <w:r>
        <w:rPr>
          <w:lang w:val="en-US"/>
        </w:rPr>
        <w:t xml:space="preserve">. The use of PPP in investments adds one more aspect to the analysis, namely the financial responsibility towards future generations. </w:t>
      </w:r>
      <w:r w:rsidR="00563E21">
        <w:rPr>
          <w:lang w:val="en-US"/>
        </w:rPr>
        <w:t xml:space="preserve">In general, we </w:t>
      </w:r>
      <w:r w:rsidR="003A6CAC">
        <w:rPr>
          <w:lang w:val="en-US"/>
        </w:rPr>
        <w:t xml:space="preserve">can </w:t>
      </w:r>
      <w:r w:rsidR="00563E21">
        <w:rPr>
          <w:lang w:val="en-US"/>
        </w:rPr>
        <w:t>determine</w:t>
      </w:r>
      <w:r w:rsidR="003A6CAC">
        <w:rPr>
          <w:lang w:val="en-US"/>
        </w:rPr>
        <w:t xml:space="preserve"> both</w:t>
      </w:r>
      <w:r w:rsidR="00563E21">
        <w:rPr>
          <w:lang w:val="en-US"/>
        </w:rPr>
        <w:t xml:space="preserve"> financial and non-financial factors of intergenerational responsibility, as the short analysis in Section 4 revealed.</w:t>
      </w:r>
    </w:p>
    <w:p w:rsidR="00477B96" w:rsidRDefault="00477B96" w:rsidP="00EC3935">
      <w:pPr>
        <w:rPr>
          <w:lang w:val="en-US"/>
        </w:rPr>
      </w:pPr>
      <w:r>
        <w:rPr>
          <w:lang w:val="en-US"/>
        </w:rPr>
        <w:t xml:space="preserve">It appears that some PPP projects may be more </w:t>
      </w:r>
      <w:proofErr w:type="spellStart"/>
      <w:r>
        <w:rPr>
          <w:lang w:val="en-US"/>
        </w:rPr>
        <w:t>favourable</w:t>
      </w:r>
      <w:proofErr w:type="spellEnd"/>
      <w:r>
        <w:rPr>
          <w:lang w:val="en-US"/>
        </w:rPr>
        <w:t xml:space="preserve"> for our successors</w:t>
      </w:r>
      <w:r w:rsidR="005733BC">
        <w:rPr>
          <w:lang w:val="en-US"/>
        </w:rPr>
        <w:t xml:space="preserve"> than the others</w:t>
      </w:r>
      <w:r>
        <w:rPr>
          <w:lang w:val="en-US"/>
        </w:rPr>
        <w:t xml:space="preserve">, for instance, </w:t>
      </w:r>
      <w:r w:rsidR="003A6CAC">
        <w:rPr>
          <w:lang w:val="en-US"/>
        </w:rPr>
        <w:t xml:space="preserve">the </w:t>
      </w:r>
      <w:r>
        <w:rPr>
          <w:lang w:val="en-US"/>
        </w:rPr>
        <w:t xml:space="preserve">non-financial benefits of educational projects may be substantial; energy costs savings paying back the private partner do not </w:t>
      </w:r>
      <w:r w:rsidR="003A6CAC">
        <w:rPr>
          <w:lang w:val="en-US"/>
        </w:rPr>
        <w:t xml:space="preserve">adversely </w:t>
      </w:r>
      <w:r>
        <w:rPr>
          <w:lang w:val="en-US"/>
        </w:rPr>
        <w:t>affect f</w:t>
      </w:r>
      <w:r w:rsidR="00563E21">
        <w:rPr>
          <w:lang w:val="en-US"/>
        </w:rPr>
        <w:t>inancially future generations etc.</w:t>
      </w:r>
      <w:r>
        <w:rPr>
          <w:lang w:val="en-US"/>
        </w:rPr>
        <w:t xml:space="preserve"> </w:t>
      </w:r>
    </w:p>
    <w:p w:rsidR="00563E21" w:rsidRDefault="00563E21" w:rsidP="00563E21">
      <w:pPr>
        <w:rPr>
          <w:lang w:val="en-US"/>
        </w:rPr>
      </w:pPr>
      <w:r>
        <w:rPr>
          <w:lang w:val="en-US"/>
        </w:rPr>
        <w:t xml:space="preserve">The paper is </w:t>
      </w:r>
      <w:r w:rsidR="00C9106F">
        <w:rPr>
          <w:lang w:val="en-US"/>
        </w:rPr>
        <w:t xml:space="preserve">only </w:t>
      </w:r>
      <w:r>
        <w:rPr>
          <w:lang w:val="en-US"/>
        </w:rPr>
        <w:t>a first attempt to address the issue of intergenerational responsibility for PPP projects</w:t>
      </w:r>
      <w:r w:rsidR="003A6CAC">
        <w:rPr>
          <w:lang w:val="en-US"/>
        </w:rPr>
        <w:t>,</w:t>
      </w:r>
      <w:r>
        <w:rPr>
          <w:lang w:val="en-US"/>
        </w:rPr>
        <w:t xml:space="preserve"> present</w:t>
      </w:r>
      <w:r w:rsidR="003A6CAC">
        <w:rPr>
          <w:lang w:val="en-US"/>
        </w:rPr>
        <w:t>ing</w:t>
      </w:r>
      <w:r>
        <w:rPr>
          <w:lang w:val="en-US"/>
        </w:rPr>
        <w:t xml:space="preserve"> some Polish examples in the field</w:t>
      </w:r>
      <w:r w:rsidR="003A6CAC">
        <w:rPr>
          <w:lang w:val="en-US"/>
        </w:rPr>
        <w:t>, and with the aim of</w:t>
      </w:r>
      <w:r>
        <w:rPr>
          <w:lang w:val="en-US"/>
        </w:rPr>
        <w:t xml:space="preserve"> drawing </w:t>
      </w:r>
      <w:r w:rsidR="003A6CAC">
        <w:rPr>
          <w:lang w:val="en-US"/>
        </w:rPr>
        <w:t xml:space="preserve">more </w:t>
      </w:r>
      <w:r>
        <w:rPr>
          <w:lang w:val="en-US"/>
        </w:rPr>
        <w:t xml:space="preserve">interest </w:t>
      </w:r>
      <w:r w:rsidR="003A6CAC">
        <w:rPr>
          <w:lang w:val="en-US"/>
        </w:rPr>
        <w:t>to</w:t>
      </w:r>
      <w:r>
        <w:rPr>
          <w:lang w:val="en-US"/>
        </w:rPr>
        <w:t xml:space="preserve"> this aspect. Future, more detailed research is needed in order </w:t>
      </w:r>
      <w:r w:rsidRPr="00563E21">
        <w:rPr>
          <w:lang w:val="en-US"/>
        </w:rPr>
        <w:t>to fully determine what factors make PPP projects responsible towards future generations</w:t>
      </w:r>
      <w:r w:rsidR="003A6CAC">
        <w:rPr>
          <w:lang w:val="en-US"/>
        </w:rPr>
        <w:t>,</w:t>
      </w:r>
      <w:r w:rsidRPr="00563E21">
        <w:rPr>
          <w:lang w:val="en-US"/>
        </w:rPr>
        <w:t xml:space="preserve"> and how this issue may be included into feasibility studies.</w:t>
      </w:r>
    </w:p>
    <w:p w:rsidR="008E1849" w:rsidRPr="00A84C27" w:rsidRDefault="008E1849" w:rsidP="0009188E">
      <w:pPr>
        <w:pStyle w:val="Nagwek2"/>
      </w:pPr>
      <w:proofErr w:type="spellStart"/>
      <w:r w:rsidRPr="00A84C27">
        <w:t>References</w:t>
      </w:r>
      <w:proofErr w:type="spellEnd"/>
    </w:p>
    <w:p w:rsidR="0009188E" w:rsidRPr="001E63A8" w:rsidRDefault="0009188E" w:rsidP="008E1849">
      <w:pPr>
        <w:autoSpaceDE w:val="0"/>
        <w:autoSpaceDN w:val="0"/>
        <w:adjustRightInd w:val="0"/>
        <w:spacing w:after="0" w:line="240" w:lineRule="auto"/>
        <w:jc w:val="left"/>
        <w:rPr>
          <w:rFonts w:cs="Times New Roman"/>
          <w:color w:val="000000"/>
          <w:sz w:val="20"/>
          <w:szCs w:val="20"/>
        </w:rPr>
      </w:pPr>
      <w:r w:rsidRPr="001E63A8">
        <w:rPr>
          <w:rFonts w:cs="Times New Roman"/>
          <w:color w:val="000000"/>
          <w:sz w:val="20"/>
          <w:szCs w:val="20"/>
        </w:rPr>
        <w:t>Bitner</w:t>
      </w:r>
      <w:r>
        <w:rPr>
          <w:rFonts w:cs="Times New Roman"/>
          <w:color w:val="000000"/>
          <w:sz w:val="20"/>
          <w:szCs w:val="20"/>
        </w:rPr>
        <w:t xml:space="preserve"> M. et al.</w:t>
      </w:r>
      <w:r w:rsidRPr="001E63A8">
        <w:rPr>
          <w:rFonts w:cs="Times New Roman"/>
          <w:color w:val="000000"/>
          <w:sz w:val="20"/>
          <w:szCs w:val="20"/>
        </w:rPr>
        <w:t>,</w:t>
      </w:r>
      <w:r>
        <w:rPr>
          <w:rFonts w:cs="Times New Roman"/>
          <w:iCs/>
          <w:color w:val="000000"/>
          <w:sz w:val="20"/>
          <w:szCs w:val="20"/>
        </w:rPr>
        <w:t>2011,</w:t>
      </w:r>
      <w:r w:rsidRPr="001E63A8">
        <w:rPr>
          <w:rFonts w:cs="Times New Roman"/>
          <w:i/>
          <w:iCs/>
          <w:color w:val="000000"/>
          <w:sz w:val="20"/>
          <w:szCs w:val="20"/>
        </w:rPr>
        <w:t xml:space="preserve"> Raport samorządowy PPP</w:t>
      </w:r>
      <w:r w:rsidRPr="001E63A8">
        <w:rPr>
          <w:rFonts w:cs="Times New Roman"/>
          <w:color w:val="000000"/>
          <w:sz w:val="20"/>
          <w:szCs w:val="20"/>
        </w:rPr>
        <w:t>, „Forum PPP – magazyn inwes</w:t>
      </w:r>
      <w:r>
        <w:rPr>
          <w:rFonts w:cs="Times New Roman"/>
          <w:color w:val="000000"/>
          <w:sz w:val="20"/>
          <w:szCs w:val="20"/>
        </w:rPr>
        <w:t>tycji publicznych” No. 2(15)</w:t>
      </w:r>
      <w:r w:rsidRPr="001E63A8">
        <w:rPr>
          <w:rFonts w:cs="Times New Roman"/>
          <w:color w:val="000000"/>
          <w:sz w:val="20"/>
          <w:szCs w:val="20"/>
        </w:rPr>
        <w:t>.</w:t>
      </w:r>
    </w:p>
    <w:p w:rsidR="0009188E" w:rsidRPr="001E63A8" w:rsidRDefault="0009188E" w:rsidP="001E63A8">
      <w:pPr>
        <w:spacing w:after="0"/>
        <w:rPr>
          <w:rFonts w:cs="Times New Roman"/>
          <w:sz w:val="20"/>
          <w:szCs w:val="20"/>
          <w:lang w:val="en-US"/>
        </w:rPr>
      </w:pPr>
      <w:r w:rsidRPr="001E63A8">
        <w:rPr>
          <w:rFonts w:cs="Times New Roman"/>
          <w:sz w:val="20"/>
          <w:szCs w:val="20"/>
          <w:lang w:val="en-US"/>
        </w:rPr>
        <w:t xml:space="preserve">Hart O., 2003, </w:t>
      </w:r>
      <w:r w:rsidRPr="0009188E">
        <w:rPr>
          <w:rFonts w:cs="Times New Roman"/>
          <w:i/>
          <w:sz w:val="20"/>
          <w:szCs w:val="20"/>
          <w:lang w:val="en-US"/>
        </w:rPr>
        <w:t>Incomplete contracts and public ownership: remarks, and an application to public-private partnerships</w:t>
      </w:r>
      <w:r w:rsidRPr="001E63A8">
        <w:rPr>
          <w:rFonts w:cs="Times New Roman"/>
          <w:sz w:val="20"/>
          <w:szCs w:val="20"/>
          <w:lang w:val="en-US"/>
        </w:rPr>
        <w:t>, The Economic Journal, 113, March.</w:t>
      </w:r>
    </w:p>
    <w:p w:rsidR="0089143D" w:rsidRDefault="0089143D" w:rsidP="001E63A8">
      <w:pPr>
        <w:spacing w:after="0"/>
        <w:rPr>
          <w:rFonts w:cs="Times New Roman"/>
          <w:sz w:val="20"/>
          <w:szCs w:val="20"/>
          <w:lang w:val="en-US"/>
        </w:rPr>
      </w:pPr>
      <w:r>
        <w:rPr>
          <w:rFonts w:cs="Times New Roman"/>
          <w:sz w:val="20"/>
          <w:szCs w:val="20"/>
          <w:lang w:val="en-US"/>
        </w:rPr>
        <w:t>Harvey D., 2008, The right to the City, The University of Georgia Press, Athens and London.</w:t>
      </w:r>
    </w:p>
    <w:p w:rsidR="0009188E" w:rsidRPr="001E63A8" w:rsidRDefault="0009188E" w:rsidP="001E63A8">
      <w:pPr>
        <w:spacing w:after="0"/>
        <w:rPr>
          <w:rFonts w:cs="Times New Roman"/>
          <w:sz w:val="20"/>
          <w:szCs w:val="20"/>
          <w:lang w:val="en-US"/>
        </w:rPr>
      </w:pPr>
      <w:r w:rsidRPr="001E63A8">
        <w:rPr>
          <w:rFonts w:cs="Times New Roman"/>
          <w:sz w:val="20"/>
          <w:szCs w:val="20"/>
          <w:lang w:val="en-US"/>
        </w:rPr>
        <w:t xml:space="preserve">Hepburn C., 2007, </w:t>
      </w:r>
      <w:r w:rsidRPr="0009188E">
        <w:rPr>
          <w:rFonts w:cs="Times New Roman"/>
          <w:i/>
          <w:sz w:val="20"/>
          <w:szCs w:val="20"/>
          <w:lang w:val="en-US"/>
        </w:rPr>
        <w:t>Valuing the far-off future: discounting and its alternatives</w:t>
      </w:r>
      <w:r w:rsidRPr="001E63A8">
        <w:rPr>
          <w:rFonts w:cs="Times New Roman"/>
          <w:sz w:val="20"/>
          <w:szCs w:val="20"/>
          <w:lang w:val="en-US"/>
        </w:rPr>
        <w:t xml:space="preserve">, [in:] </w:t>
      </w:r>
      <w:r w:rsidRPr="001E63A8">
        <w:rPr>
          <w:rFonts w:cs="Times New Roman"/>
          <w:color w:val="000000"/>
          <w:sz w:val="20"/>
          <w:szCs w:val="20"/>
          <w:lang w:val="en-US"/>
        </w:rPr>
        <w:t>Atkinson</w:t>
      </w:r>
      <w:r>
        <w:rPr>
          <w:rFonts w:cs="Times New Roman"/>
          <w:color w:val="000000"/>
          <w:sz w:val="20"/>
          <w:szCs w:val="20"/>
          <w:lang w:val="en-US"/>
        </w:rPr>
        <w:t xml:space="preserve"> G.</w:t>
      </w:r>
      <w:r w:rsidRPr="001E63A8">
        <w:rPr>
          <w:rFonts w:cs="Times New Roman"/>
          <w:color w:val="000000"/>
          <w:sz w:val="20"/>
          <w:szCs w:val="20"/>
          <w:lang w:val="en-US"/>
        </w:rPr>
        <w:t>, Dietz</w:t>
      </w:r>
      <w:r>
        <w:rPr>
          <w:rFonts w:cs="Times New Roman"/>
          <w:color w:val="000000"/>
          <w:sz w:val="20"/>
          <w:szCs w:val="20"/>
          <w:lang w:val="en-US"/>
        </w:rPr>
        <w:t xml:space="preserve"> S.</w:t>
      </w:r>
      <w:r w:rsidRPr="001E63A8">
        <w:rPr>
          <w:rFonts w:cs="Times New Roman"/>
          <w:color w:val="000000"/>
          <w:sz w:val="20"/>
          <w:szCs w:val="20"/>
          <w:lang w:val="en-US"/>
        </w:rPr>
        <w:t xml:space="preserve">, </w:t>
      </w:r>
      <w:proofErr w:type="spellStart"/>
      <w:r w:rsidRPr="001E63A8">
        <w:rPr>
          <w:rFonts w:cs="Times New Roman"/>
          <w:color w:val="000000"/>
          <w:sz w:val="20"/>
          <w:szCs w:val="20"/>
          <w:lang w:val="en-US"/>
        </w:rPr>
        <w:t>Neumayer</w:t>
      </w:r>
      <w:proofErr w:type="spellEnd"/>
      <w:r>
        <w:rPr>
          <w:rFonts w:cs="Times New Roman"/>
          <w:color w:val="000000"/>
          <w:sz w:val="20"/>
          <w:szCs w:val="20"/>
          <w:lang w:val="en-US"/>
        </w:rPr>
        <w:t xml:space="preserve"> E.</w:t>
      </w:r>
      <w:r w:rsidRPr="001E63A8">
        <w:rPr>
          <w:rFonts w:cs="Times New Roman"/>
          <w:color w:val="000000"/>
          <w:sz w:val="20"/>
          <w:szCs w:val="20"/>
          <w:lang w:val="en-US"/>
        </w:rPr>
        <w:t xml:space="preserve">, </w:t>
      </w:r>
      <w:r w:rsidRPr="0009188E">
        <w:rPr>
          <w:rFonts w:cs="Times New Roman"/>
          <w:i/>
          <w:color w:val="000000"/>
          <w:sz w:val="20"/>
          <w:szCs w:val="20"/>
          <w:lang w:val="en-US"/>
        </w:rPr>
        <w:t>Handbook of Sustainable Development</w:t>
      </w:r>
      <w:r w:rsidRPr="001E63A8">
        <w:rPr>
          <w:rFonts w:cs="Times New Roman"/>
          <w:color w:val="000000"/>
          <w:sz w:val="20"/>
          <w:szCs w:val="20"/>
          <w:lang w:val="en-US"/>
        </w:rPr>
        <w:t>, Edward Elgar Publishing Ltd., Cheltenha</w:t>
      </w:r>
      <w:r>
        <w:rPr>
          <w:rFonts w:cs="Times New Roman"/>
          <w:color w:val="000000"/>
          <w:sz w:val="20"/>
          <w:szCs w:val="20"/>
          <w:lang w:val="en-US"/>
        </w:rPr>
        <w:t>m.</w:t>
      </w:r>
    </w:p>
    <w:p w:rsidR="0009188E" w:rsidRPr="001E63A8" w:rsidRDefault="0009188E" w:rsidP="001E63A8">
      <w:pPr>
        <w:spacing w:after="0"/>
        <w:rPr>
          <w:rFonts w:cs="Times New Roman"/>
          <w:sz w:val="20"/>
          <w:szCs w:val="20"/>
        </w:rPr>
      </w:pPr>
      <w:r w:rsidRPr="001E63A8">
        <w:rPr>
          <w:rFonts w:cs="Times New Roman"/>
          <w:sz w:val="20"/>
          <w:szCs w:val="20"/>
        </w:rPr>
        <w:t>Kopaliński</w:t>
      </w:r>
      <w:r w:rsidRPr="0009188E">
        <w:rPr>
          <w:rFonts w:cs="Times New Roman"/>
          <w:sz w:val="20"/>
          <w:szCs w:val="20"/>
        </w:rPr>
        <w:t xml:space="preserve"> </w:t>
      </w:r>
      <w:r w:rsidRPr="001E63A8">
        <w:rPr>
          <w:rFonts w:cs="Times New Roman"/>
          <w:sz w:val="20"/>
          <w:szCs w:val="20"/>
        </w:rPr>
        <w:t>Wł.,</w:t>
      </w:r>
      <w:r>
        <w:rPr>
          <w:rFonts w:cs="Times New Roman"/>
          <w:sz w:val="20"/>
          <w:szCs w:val="20"/>
        </w:rPr>
        <w:t xml:space="preserve"> 1975,</w:t>
      </w:r>
      <w:r w:rsidRPr="001E63A8">
        <w:rPr>
          <w:rFonts w:cs="Times New Roman"/>
          <w:sz w:val="20"/>
          <w:szCs w:val="20"/>
        </w:rPr>
        <w:t xml:space="preserve"> </w:t>
      </w:r>
      <w:r w:rsidRPr="0009188E">
        <w:rPr>
          <w:rFonts w:cs="Times New Roman"/>
          <w:i/>
          <w:sz w:val="20"/>
          <w:szCs w:val="20"/>
        </w:rPr>
        <w:t>Słownik wyrazów obcych i zwrotów obcojęzycznych</w:t>
      </w:r>
      <w:r w:rsidRPr="001E63A8">
        <w:rPr>
          <w:rFonts w:cs="Times New Roman"/>
          <w:sz w:val="20"/>
          <w:szCs w:val="20"/>
        </w:rPr>
        <w:t>, Wiedza Powszechna, Warszawa.</w:t>
      </w:r>
    </w:p>
    <w:p w:rsidR="00093BDF" w:rsidRDefault="00093BDF" w:rsidP="0009188E">
      <w:pPr>
        <w:spacing w:after="0"/>
        <w:rPr>
          <w:rFonts w:eastAsia="Calibri" w:cs="Times New Roman"/>
          <w:i/>
          <w:sz w:val="20"/>
          <w:szCs w:val="20"/>
        </w:rPr>
      </w:pPr>
      <w:r w:rsidRPr="006B5173">
        <w:rPr>
          <w:i/>
        </w:rPr>
        <w:t>Raport Partnerstwo publiczno-prywatne w Polsce w latach 2009-2011</w:t>
      </w:r>
      <w:r w:rsidRPr="006B5173">
        <w:t xml:space="preserve">, </w:t>
      </w:r>
      <w:r>
        <w:t xml:space="preserve">2012, </w:t>
      </w:r>
      <w:r w:rsidRPr="006B5173">
        <w:t>Ministerstwo R</w:t>
      </w:r>
      <w:r>
        <w:t>ozwoju Regionalnego.</w:t>
      </w:r>
    </w:p>
    <w:p w:rsidR="0009188E" w:rsidRPr="001E63A8" w:rsidRDefault="0009188E" w:rsidP="0009188E">
      <w:pPr>
        <w:spacing w:after="0"/>
        <w:rPr>
          <w:rFonts w:cs="Times New Roman"/>
          <w:sz w:val="20"/>
          <w:szCs w:val="20"/>
        </w:rPr>
      </w:pPr>
      <w:r w:rsidRPr="001E63A8">
        <w:rPr>
          <w:rFonts w:eastAsia="Calibri" w:cs="Times New Roman"/>
          <w:i/>
          <w:sz w:val="20"/>
          <w:szCs w:val="20"/>
        </w:rPr>
        <w:t>Raport PPP. Rynek partnerstwa</w:t>
      </w:r>
      <w:r w:rsidRPr="001E63A8">
        <w:rPr>
          <w:rFonts w:cs="Times New Roman"/>
          <w:i/>
          <w:sz w:val="20"/>
          <w:szCs w:val="20"/>
        </w:rPr>
        <w:t xml:space="preserve"> publiczno-prywatnego i koncesji w Polsce w 2014r. na tle stanu obowiązującego w latach 2009-2013</w:t>
      </w:r>
      <w:r w:rsidRPr="001E63A8">
        <w:rPr>
          <w:rFonts w:cs="Times New Roman"/>
          <w:sz w:val="20"/>
          <w:szCs w:val="20"/>
        </w:rPr>
        <w:t xml:space="preserve">, 2015, Ministerstwo Gospodarki, Warszawa. </w:t>
      </w:r>
    </w:p>
    <w:p w:rsidR="0009188E" w:rsidRPr="001E63A8" w:rsidRDefault="0009188E" w:rsidP="001E63A8">
      <w:pPr>
        <w:spacing w:after="0"/>
        <w:rPr>
          <w:rFonts w:eastAsia="Calibri" w:cs="Times New Roman"/>
          <w:sz w:val="20"/>
          <w:szCs w:val="20"/>
        </w:rPr>
      </w:pPr>
      <w:r w:rsidRPr="001E63A8">
        <w:rPr>
          <w:rFonts w:eastAsia="Calibri" w:cs="Times New Roman"/>
          <w:i/>
          <w:sz w:val="20"/>
          <w:szCs w:val="20"/>
        </w:rPr>
        <w:t>Raport rynku PPP. Ocena obecnego stanu i perspektyw finansowego zaangażowania sektora prywatnego i publicznego w rozwój partnerstwa publiczno-prywatnego w Polsce</w:t>
      </w:r>
      <w:r w:rsidRPr="001E63A8">
        <w:rPr>
          <w:rFonts w:eastAsia="Calibri" w:cs="Times New Roman"/>
          <w:sz w:val="20"/>
          <w:szCs w:val="20"/>
        </w:rPr>
        <w:t>, 2013, Ministerstwo Gospodarki, Warszawa</w:t>
      </w:r>
    </w:p>
    <w:p w:rsidR="0009188E" w:rsidRPr="001E63A8" w:rsidRDefault="0009188E" w:rsidP="001E63A8">
      <w:pPr>
        <w:spacing w:after="0"/>
        <w:rPr>
          <w:rFonts w:cs="Times New Roman"/>
          <w:sz w:val="20"/>
          <w:szCs w:val="20"/>
        </w:rPr>
      </w:pPr>
      <w:r w:rsidRPr="001E63A8">
        <w:rPr>
          <w:rFonts w:cs="Times New Roman"/>
          <w:sz w:val="20"/>
          <w:szCs w:val="20"/>
        </w:rPr>
        <w:lastRenderedPageBreak/>
        <w:t>Ratajczak</w:t>
      </w:r>
      <w:r w:rsidRPr="0009188E">
        <w:rPr>
          <w:rFonts w:cs="Times New Roman"/>
          <w:sz w:val="20"/>
          <w:szCs w:val="20"/>
        </w:rPr>
        <w:t xml:space="preserve"> </w:t>
      </w:r>
      <w:r w:rsidRPr="001E63A8">
        <w:rPr>
          <w:rFonts w:cs="Times New Roman"/>
          <w:sz w:val="20"/>
          <w:szCs w:val="20"/>
        </w:rPr>
        <w:t xml:space="preserve">M., </w:t>
      </w:r>
      <w:r>
        <w:rPr>
          <w:rFonts w:cs="Times New Roman"/>
          <w:sz w:val="20"/>
          <w:szCs w:val="20"/>
        </w:rPr>
        <w:t xml:space="preserve">1999, </w:t>
      </w:r>
      <w:r w:rsidRPr="0009188E">
        <w:rPr>
          <w:rFonts w:cs="Times New Roman"/>
          <w:i/>
          <w:sz w:val="20"/>
          <w:szCs w:val="20"/>
        </w:rPr>
        <w:t>Infrastruktura w gospodarce rynkowej</w:t>
      </w:r>
      <w:r w:rsidRPr="001E63A8">
        <w:rPr>
          <w:rFonts w:cs="Times New Roman"/>
          <w:sz w:val="20"/>
          <w:szCs w:val="20"/>
        </w:rPr>
        <w:t>, Wydawnictwo Akademii Ekon</w:t>
      </w:r>
      <w:r>
        <w:rPr>
          <w:rFonts w:cs="Times New Roman"/>
          <w:sz w:val="20"/>
          <w:szCs w:val="20"/>
        </w:rPr>
        <w:t>omicznej w Poznaniu, Poznań.</w:t>
      </w:r>
    </w:p>
    <w:p w:rsidR="0009188E" w:rsidRPr="001E63A8" w:rsidRDefault="0009188E" w:rsidP="001E63A8">
      <w:pPr>
        <w:spacing w:after="0"/>
        <w:rPr>
          <w:rFonts w:cs="Times New Roman"/>
          <w:sz w:val="20"/>
          <w:szCs w:val="20"/>
          <w:lang w:val="en-US"/>
        </w:rPr>
      </w:pPr>
      <w:r w:rsidRPr="001E63A8">
        <w:rPr>
          <w:rFonts w:cs="Times New Roman"/>
          <w:sz w:val="20"/>
          <w:szCs w:val="20"/>
          <w:lang w:val="en-US"/>
        </w:rPr>
        <w:t xml:space="preserve">Schelling T.C., 1995, </w:t>
      </w:r>
      <w:r w:rsidRPr="0009188E">
        <w:rPr>
          <w:rFonts w:cs="Times New Roman"/>
          <w:i/>
          <w:sz w:val="20"/>
          <w:szCs w:val="20"/>
          <w:lang w:val="en-US"/>
        </w:rPr>
        <w:t>Intergenerational discounting</w:t>
      </w:r>
      <w:r w:rsidRPr="001E63A8">
        <w:rPr>
          <w:rFonts w:cs="Times New Roman"/>
          <w:sz w:val="20"/>
          <w:szCs w:val="20"/>
          <w:lang w:val="en-US"/>
        </w:rPr>
        <w:t>, Energy Policy vol. 23 Number 4/5</w:t>
      </w:r>
      <w:r>
        <w:rPr>
          <w:rFonts w:cs="Times New Roman"/>
          <w:sz w:val="20"/>
          <w:szCs w:val="20"/>
          <w:lang w:val="en-US"/>
        </w:rPr>
        <w:t>.</w:t>
      </w:r>
    </w:p>
    <w:p w:rsidR="0009188E" w:rsidRPr="001E63A8" w:rsidRDefault="0009188E" w:rsidP="001E63A8">
      <w:pPr>
        <w:autoSpaceDE w:val="0"/>
        <w:autoSpaceDN w:val="0"/>
        <w:adjustRightInd w:val="0"/>
        <w:spacing w:after="0" w:line="240" w:lineRule="auto"/>
        <w:jc w:val="left"/>
        <w:rPr>
          <w:rFonts w:cs="Times New Roman"/>
          <w:color w:val="0000FF"/>
          <w:sz w:val="20"/>
          <w:szCs w:val="20"/>
          <w:lang w:val="en-US"/>
        </w:rPr>
      </w:pPr>
      <w:proofErr w:type="spellStart"/>
      <w:r w:rsidRPr="001E63A8">
        <w:rPr>
          <w:rFonts w:cs="Times New Roman"/>
          <w:color w:val="000000"/>
          <w:sz w:val="20"/>
          <w:szCs w:val="20"/>
          <w:lang w:val="en-US"/>
        </w:rPr>
        <w:t>Shaoul</w:t>
      </w:r>
      <w:proofErr w:type="spellEnd"/>
      <w:r>
        <w:rPr>
          <w:rFonts w:cs="Times New Roman"/>
          <w:color w:val="000000"/>
          <w:sz w:val="20"/>
          <w:szCs w:val="20"/>
          <w:lang w:val="en-US"/>
        </w:rPr>
        <w:t xml:space="preserve"> J.</w:t>
      </w:r>
      <w:r w:rsidRPr="001E63A8">
        <w:rPr>
          <w:rFonts w:cs="Times New Roman"/>
          <w:color w:val="000000"/>
          <w:sz w:val="20"/>
          <w:szCs w:val="20"/>
          <w:lang w:val="en-US"/>
        </w:rPr>
        <w:t xml:space="preserve">, Stafford </w:t>
      </w:r>
      <w:r>
        <w:rPr>
          <w:rFonts w:cs="Times New Roman"/>
          <w:color w:val="000000"/>
          <w:sz w:val="20"/>
          <w:szCs w:val="20"/>
          <w:lang w:val="en-US"/>
        </w:rPr>
        <w:t xml:space="preserve">A., </w:t>
      </w:r>
      <w:r w:rsidRPr="001E63A8">
        <w:rPr>
          <w:rFonts w:cs="Times New Roman"/>
          <w:color w:val="000000"/>
          <w:sz w:val="20"/>
          <w:szCs w:val="20"/>
          <w:lang w:val="en-US"/>
        </w:rPr>
        <w:t xml:space="preserve">Stapleton </w:t>
      </w:r>
      <w:r>
        <w:rPr>
          <w:rFonts w:cs="Times New Roman"/>
          <w:color w:val="000000"/>
          <w:sz w:val="20"/>
          <w:szCs w:val="20"/>
          <w:lang w:val="en-US"/>
        </w:rPr>
        <w:t xml:space="preserve">P., </w:t>
      </w:r>
      <w:r w:rsidRPr="001E63A8">
        <w:rPr>
          <w:rFonts w:cs="Times New Roman"/>
          <w:color w:val="000000"/>
          <w:sz w:val="20"/>
          <w:szCs w:val="20"/>
          <w:lang w:val="en-US"/>
        </w:rPr>
        <w:t>2006</w:t>
      </w:r>
      <w:r>
        <w:rPr>
          <w:rFonts w:cs="Times New Roman"/>
          <w:color w:val="000000"/>
          <w:sz w:val="20"/>
          <w:szCs w:val="20"/>
          <w:lang w:val="en-US"/>
        </w:rPr>
        <w:t>,</w:t>
      </w:r>
      <w:r w:rsidRPr="001E63A8">
        <w:rPr>
          <w:rFonts w:cs="Times New Roman"/>
          <w:i/>
          <w:color w:val="000000"/>
          <w:sz w:val="20"/>
          <w:szCs w:val="20"/>
          <w:lang w:val="en-US"/>
        </w:rPr>
        <w:t>Highway Robbery? A Financial Analysis of Design, Build, Finance and Operate (DBFO) in UK Roads</w:t>
      </w:r>
      <w:r w:rsidRPr="001E63A8">
        <w:rPr>
          <w:rFonts w:cs="Times New Roman"/>
          <w:color w:val="000000"/>
          <w:sz w:val="20"/>
          <w:szCs w:val="20"/>
          <w:lang w:val="en-US"/>
        </w:rPr>
        <w:t xml:space="preserve">, Transport Reviews: A Transnational </w:t>
      </w:r>
      <w:proofErr w:type="spellStart"/>
      <w:r w:rsidRPr="001E63A8">
        <w:rPr>
          <w:rFonts w:cs="Times New Roman"/>
          <w:color w:val="000000"/>
          <w:sz w:val="20"/>
          <w:szCs w:val="20"/>
          <w:lang w:val="en-US"/>
        </w:rPr>
        <w:t>Transdisciplinary</w:t>
      </w:r>
      <w:proofErr w:type="spellEnd"/>
      <w:r w:rsidRPr="001E63A8">
        <w:rPr>
          <w:rFonts w:cs="Times New Roman"/>
          <w:color w:val="000000"/>
          <w:sz w:val="20"/>
          <w:szCs w:val="20"/>
          <w:lang w:val="en-US"/>
        </w:rPr>
        <w:t xml:space="preserve"> Journal, 26:3, 257-274, DOI: </w:t>
      </w:r>
      <w:r w:rsidRPr="008106CA">
        <w:rPr>
          <w:rFonts w:cs="Times New Roman"/>
          <w:color w:val="000000" w:themeColor="text1"/>
          <w:sz w:val="20"/>
          <w:szCs w:val="20"/>
          <w:lang w:val="en-US"/>
        </w:rPr>
        <w:t>10.1080/01441640500415243</w:t>
      </w:r>
    </w:p>
    <w:p w:rsidR="0009188E" w:rsidRDefault="0009188E" w:rsidP="001E63A8">
      <w:pPr>
        <w:spacing w:after="0"/>
        <w:rPr>
          <w:rFonts w:cs="Times New Roman"/>
          <w:sz w:val="20"/>
          <w:szCs w:val="20"/>
        </w:rPr>
      </w:pPr>
      <w:r w:rsidRPr="001E63A8">
        <w:rPr>
          <w:rFonts w:cs="Times New Roman"/>
          <w:sz w:val="20"/>
          <w:szCs w:val="20"/>
        </w:rPr>
        <w:t>Wojewódzka-Król K.,</w:t>
      </w:r>
      <w:r>
        <w:rPr>
          <w:rFonts w:cs="Times New Roman"/>
          <w:sz w:val="20"/>
          <w:szCs w:val="20"/>
        </w:rPr>
        <w:t xml:space="preserve"> 2000,</w:t>
      </w:r>
      <w:r w:rsidRPr="001E63A8">
        <w:rPr>
          <w:rFonts w:cs="Times New Roman"/>
          <w:sz w:val="20"/>
          <w:szCs w:val="20"/>
        </w:rPr>
        <w:t xml:space="preserve"> </w:t>
      </w:r>
      <w:r w:rsidRPr="001E63A8">
        <w:rPr>
          <w:rFonts w:cs="Times New Roman"/>
          <w:i/>
          <w:sz w:val="20"/>
          <w:szCs w:val="20"/>
        </w:rPr>
        <w:t>Infrastruktura jako czynnik determinujący integrację Polski z europejskim systemem transportowym</w:t>
      </w:r>
      <w:r>
        <w:rPr>
          <w:rFonts w:cs="Times New Roman"/>
          <w:sz w:val="20"/>
          <w:szCs w:val="20"/>
        </w:rPr>
        <w:t>, Przegląd Komunikacyjny No</w:t>
      </w:r>
      <w:r w:rsidRPr="001E63A8">
        <w:rPr>
          <w:rFonts w:cs="Times New Roman"/>
          <w:sz w:val="20"/>
          <w:szCs w:val="20"/>
        </w:rPr>
        <w:t xml:space="preserve"> 11</w:t>
      </w:r>
      <w:r>
        <w:rPr>
          <w:rFonts w:cs="Times New Roman"/>
          <w:sz w:val="20"/>
          <w:szCs w:val="20"/>
        </w:rPr>
        <w:t>.</w:t>
      </w:r>
    </w:p>
    <w:p w:rsidR="008106CA" w:rsidRPr="008106CA" w:rsidRDefault="008106CA" w:rsidP="001E63A8">
      <w:pPr>
        <w:spacing w:after="0"/>
        <w:rPr>
          <w:rFonts w:cs="Times New Roman"/>
          <w:sz w:val="20"/>
          <w:szCs w:val="20"/>
        </w:rPr>
      </w:pPr>
      <w:proofErr w:type="spellStart"/>
      <w:r w:rsidRPr="008106CA">
        <w:rPr>
          <w:sz w:val="20"/>
          <w:szCs w:val="20"/>
        </w:rPr>
        <w:t>Zamel</w:t>
      </w:r>
      <w:proofErr w:type="spellEnd"/>
      <w:r w:rsidRPr="008106CA">
        <w:rPr>
          <w:sz w:val="20"/>
          <w:szCs w:val="20"/>
        </w:rPr>
        <w:t xml:space="preserve"> P., 2012,</w:t>
      </w:r>
      <w:r w:rsidRPr="008106CA">
        <w:rPr>
          <w:i/>
          <w:sz w:val="20"/>
          <w:szCs w:val="20"/>
        </w:rPr>
        <w:t xml:space="preserve"> Zwiększenie efektywności energetycznej obiektów użyteczności publicznej realizowane w formule performance </w:t>
      </w:r>
      <w:proofErr w:type="spellStart"/>
      <w:r w:rsidRPr="008106CA">
        <w:rPr>
          <w:i/>
          <w:sz w:val="20"/>
          <w:szCs w:val="20"/>
        </w:rPr>
        <w:t>contracting</w:t>
      </w:r>
      <w:proofErr w:type="spellEnd"/>
      <w:r w:rsidRPr="008106CA">
        <w:rPr>
          <w:i/>
          <w:sz w:val="20"/>
          <w:szCs w:val="20"/>
        </w:rPr>
        <w:t xml:space="preserve"> z wykorzystaniem partnerstwa publiczno-prywatnego - krajowe doświadczenia Siemens sp. z o.o</w:t>
      </w:r>
      <w:r w:rsidRPr="008106CA">
        <w:rPr>
          <w:sz w:val="20"/>
          <w:szCs w:val="20"/>
        </w:rPr>
        <w:t>., Forum PPP No. 1</w:t>
      </w:r>
      <w:r w:rsidRPr="008106CA">
        <w:rPr>
          <w:rFonts w:cs="Times New Roman"/>
          <w:sz w:val="20"/>
          <w:szCs w:val="20"/>
        </w:rPr>
        <w:t>.</w:t>
      </w:r>
    </w:p>
    <w:sectPr w:rsidR="008106CA" w:rsidRPr="008106CA" w:rsidSect="003C3156">
      <w:headerReference w:type="default" r:id="rId11"/>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9362B26" w15:done="0"/>
  <w15:commentEx w15:paraId="4E21FF09" w15:done="0"/>
  <w15:commentEx w15:paraId="0941D8E2" w15:done="0"/>
  <w15:commentEx w15:paraId="3E2A1D0F" w15:done="0"/>
  <w15:commentEx w15:paraId="70A9A2CF" w15:done="0"/>
  <w15:commentEx w15:paraId="36D7E1A6" w15:done="0"/>
  <w15:commentEx w15:paraId="12F8804A" w15:done="0"/>
  <w15:commentEx w15:paraId="625E4855" w15:done="0"/>
  <w15:commentEx w15:paraId="2CE419EC" w15:done="0"/>
  <w15:commentEx w15:paraId="45C350D8" w15:done="0"/>
  <w15:commentEx w15:paraId="71014DB3" w15:done="0"/>
  <w15:commentEx w15:paraId="5A0EC70F" w15:done="0"/>
  <w15:commentEx w15:paraId="38492712" w15:done="0"/>
  <w15:commentEx w15:paraId="696CA5B6" w15:done="0"/>
  <w15:commentEx w15:paraId="081E2C62" w15:done="0"/>
  <w15:commentEx w15:paraId="08996959" w15:done="0"/>
  <w15:commentEx w15:paraId="006B2239" w15:done="0"/>
  <w15:commentEx w15:paraId="290CA299" w15:done="0"/>
  <w15:commentEx w15:paraId="64C6A2C5" w15:done="0"/>
  <w15:commentEx w15:paraId="335F4715" w15:done="0"/>
  <w15:commentEx w15:paraId="14DC4207" w15:done="0"/>
  <w15:commentEx w15:paraId="5100D422" w15:done="0"/>
  <w15:commentEx w15:paraId="6B9EDB92" w15:done="0"/>
  <w15:commentEx w15:paraId="386F8A23" w15:done="0"/>
  <w15:commentEx w15:paraId="43A5F815" w15:done="0"/>
  <w15:commentEx w15:paraId="36A99A06"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56C6" w:rsidRDefault="003456C6" w:rsidP="00EC3935">
      <w:pPr>
        <w:spacing w:after="0" w:line="240" w:lineRule="auto"/>
      </w:pPr>
      <w:r>
        <w:separator/>
      </w:r>
    </w:p>
  </w:endnote>
  <w:endnote w:type="continuationSeparator" w:id="0">
    <w:p w:rsidR="003456C6" w:rsidRDefault="003456C6" w:rsidP="00EC3935">
      <w:pPr>
        <w:spacing w:after="0" w:line="240" w:lineRule="auto"/>
      </w:pPr>
      <w:r>
        <w:continuationSeparator/>
      </w:r>
    </w:p>
  </w:endnote>
  <w:endnote w:id="1">
    <w:p w:rsidR="00EC0D62" w:rsidRPr="001E63A8" w:rsidRDefault="00EC0D62">
      <w:pPr>
        <w:pStyle w:val="Tekstprzypisukocowego"/>
        <w:rPr>
          <w:lang w:val="en-US"/>
        </w:rPr>
      </w:pPr>
      <w:r>
        <w:rPr>
          <w:rStyle w:val="Odwoanieprzypisukocowego"/>
        </w:rPr>
        <w:endnoteRef/>
      </w:r>
      <w:r w:rsidRPr="001E63A8">
        <w:rPr>
          <w:lang w:val="en-US"/>
        </w:rPr>
        <w:t xml:space="preserve"> </w:t>
      </w:r>
      <w:r>
        <w:rPr>
          <w:lang w:val="en-US"/>
        </w:rPr>
        <w:t xml:space="preserve">In Poland </w:t>
      </w:r>
      <w:r w:rsidR="003A6CAC">
        <w:rPr>
          <w:lang w:val="en-US"/>
        </w:rPr>
        <w:t xml:space="preserve">the </w:t>
      </w:r>
      <w:r>
        <w:rPr>
          <w:lang w:val="en-US"/>
        </w:rPr>
        <w:t>majority of taxes is collected by the central budget and then partially redistributed to local authorities.</w:t>
      </w:r>
    </w:p>
  </w:endnote>
  <w:endnote w:id="2">
    <w:p w:rsidR="00EC0D62" w:rsidRPr="00626BFA" w:rsidRDefault="00EC0D62" w:rsidP="00626BFA">
      <w:pPr>
        <w:pStyle w:val="Tekstprzypisukocowego"/>
        <w:rPr>
          <w:lang w:val="en-US"/>
        </w:rPr>
      </w:pPr>
      <w:r>
        <w:rPr>
          <w:rStyle w:val="Odwoanieprzypisukocowego"/>
        </w:rPr>
        <w:endnoteRef/>
      </w:r>
      <w:r w:rsidRPr="00626BFA">
        <w:rPr>
          <w:lang w:val="en-US"/>
        </w:rPr>
        <w:t xml:space="preserve"> </w:t>
      </w:r>
      <w:r w:rsidRPr="006820E5">
        <w:rPr>
          <w:i/>
          <w:lang w:val="en-US"/>
        </w:rPr>
        <w:t xml:space="preserve">New Decision of </w:t>
      </w:r>
      <w:proofErr w:type="spellStart"/>
      <w:r w:rsidRPr="006820E5">
        <w:rPr>
          <w:i/>
          <w:lang w:val="en-US"/>
        </w:rPr>
        <w:t>Eurostat</w:t>
      </w:r>
      <w:proofErr w:type="spellEnd"/>
      <w:r w:rsidRPr="006820E5">
        <w:rPr>
          <w:i/>
          <w:lang w:val="en-US"/>
        </w:rPr>
        <w:t xml:space="preserve"> on debt and deficit no 18/2004. Treatment of public-private partnerships</w:t>
      </w:r>
      <w:r>
        <w:rPr>
          <w:lang w:val="en-US"/>
        </w:rPr>
        <w:t xml:space="preserve"> - according to </w:t>
      </w:r>
      <w:r w:rsidR="003A6CAC">
        <w:rPr>
          <w:lang w:val="en-US"/>
        </w:rPr>
        <w:t>this decision,</w:t>
      </w:r>
      <w:r>
        <w:rPr>
          <w:lang w:val="en-US"/>
        </w:rPr>
        <w:t xml:space="preserve"> </w:t>
      </w:r>
      <w:r w:rsidRPr="00626BFA">
        <w:rPr>
          <w:lang w:val="en-US"/>
        </w:rPr>
        <w:t xml:space="preserve">the assets involved in a </w:t>
      </w:r>
      <w:r>
        <w:rPr>
          <w:lang w:val="en-US"/>
        </w:rPr>
        <w:t>PPP project</w:t>
      </w:r>
      <w:r w:rsidRPr="00626BFA">
        <w:rPr>
          <w:lang w:val="en-US"/>
        </w:rPr>
        <w:t xml:space="preserve"> should be classified as non</w:t>
      </w:r>
      <w:r>
        <w:rPr>
          <w:lang w:val="en-US"/>
        </w:rPr>
        <w:t>-</w:t>
      </w:r>
      <w:r w:rsidRPr="00626BFA">
        <w:rPr>
          <w:lang w:val="en-US"/>
        </w:rPr>
        <w:t>government</w:t>
      </w:r>
      <w:r>
        <w:rPr>
          <w:lang w:val="en-US"/>
        </w:rPr>
        <w:t xml:space="preserve"> ones</w:t>
      </w:r>
      <w:r w:rsidRPr="00626BFA">
        <w:rPr>
          <w:lang w:val="en-US"/>
        </w:rPr>
        <w:t>, and therefore recorded off balance sheet for government, if both of the following conditions are</w:t>
      </w:r>
      <w:r>
        <w:rPr>
          <w:lang w:val="en-US"/>
        </w:rPr>
        <w:t xml:space="preserve"> </w:t>
      </w:r>
      <w:r w:rsidRPr="00626BFA">
        <w:rPr>
          <w:lang w:val="en-US"/>
        </w:rPr>
        <w:t>met:</w:t>
      </w:r>
    </w:p>
    <w:p w:rsidR="00EC0D62" w:rsidRPr="00626BFA" w:rsidRDefault="00EC0D62" w:rsidP="00626BFA">
      <w:pPr>
        <w:pStyle w:val="Tekstprzypisukocowego"/>
        <w:rPr>
          <w:lang w:val="en-US"/>
        </w:rPr>
      </w:pPr>
      <w:r w:rsidRPr="00626BFA">
        <w:rPr>
          <w:lang w:val="en-US"/>
        </w:rPr>
        <w:t>1. the private partner bears the construction risk, and</w:t>
      </w:r>
    </w:p>
    <w:p w:rsidR="00EC0D62" w:rsidRDefault="00EC0D62" w:rsidP="00626BFA">
      <w:pPr>
        <w:pStyle w:val="Tekstprzypisukocowego"/>
        <w:rPr>
          <w:lang w:val="en-US"/>
        </w:rPr>
      </w:pPr>
      <w:r w:rsidRPr="00626BFA">
        <w:rPr>
          <w:lang w:val="en-US"/>
        </w:rPr>
        <w:t>2. the private partner bears at least one of either availability or demand risk.</w:t>
      </w:r>
    </w:p>
    <w:p w:rsidR="00EC0D62" w:rsidRPr="00626BFA" w:rsidRDefault="00EC0D62" w:rsidP="00626BFA">
      <w:pPr>
        <w:pStyle w:val="Tekstprzypisukocowego"/>
        <w:rPr>
          <w:lang w:val="en-US"/>
        </w:rPr>
      </w:pPr>
      <w:r>
        <w:rPr>
          <w:lang w:val="en-US"/>
        </w:rPr>
        <w:t xml:space="preserve">The Decision was implemented </w:t>
      </w:r>
      <w:r w:rsidR="003A6CAC">
        <w:rPr>
          <w:lang w:val="en-US"/>
        </w:rPr>
        <w:t>within the</w:t>
      </w:r>
      <w:r>
        <w:rPr>
          <w:lang w:val="en-US"/>
        </w:rPr>
        <w:t xml:space="preserve"> Polish legal framework by the order of Minister of Economy, issued in 2015.</w:t>
      </w:r>
    </w:p>
  </w:endnote>
  <w:endnote w:id="3">
    <w:p w:rsidR="00EC0D62" w:rsidRPr="00F51E45" w:rsidRDefault="00EC0D62">
      <w:pPr>
        <w:pStyle w:val="Tekstprzypisukocowego"/>
        <w:rPr>
          <w:lang w:val="en-US"/>
        </w:rPr>
      </w:pPr>
      <w:r>
        <w:rPr>
          <w:rStyle w:val="Odwoanieprzypisukocowego"/>
        </w:rPr>
        <w:endnoteRef/>
      </w:r>
      <w:r w:rsidRPr="00F51E45">
        <w:rPr>
          <w:lang w:val="en-US"/>
        </w:rPr>
        <w:t xml:space="preserve"> </w:t>
      </w:r>
      <w:r>
        <w:rPr>
          <w:lang w:val="en-US"/>
        </w:rPr>
        <w:t xml:space="preserve">The mechanism is interesting and should be used widely in PPP projects in Poland but if we consider it from intergenerational justice point of view, it appears that today's budget profits from the right of building on a public ground (sold on the cost of the future generations). The </w:t>
      </w:r>
      <w:r w:rsidR="003A6CAC">
        <w:rPr>
          <w:lang w:val="en-US"/>
        </w:rPr>
        <w:t xml:space="preserve">resulting </w:t>
      </w:r>
      <w:r>
        <w:rPr>
          <w:lang w:val="en-US"/>
        </w:rPr>
        <w:t>built-inheritance may not be perceived as desired by our successors.</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outhern">
    <w:altName w:val="Times New Roman"/>
    <w:charset w:val="00"/>
    <w:family w:val="auto"/>
    <w:pitch w:val="variable"/>
    <w:sig w:usb0="00000007" w:usb1="00000000" w:usb2="00000000" w:usb3="00000000" w:csb0="00000003"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56C6" w:rsidRDefault="003456C6" w:rsidP="00EC3935">
      <w:pPr>
        <w:spacing w:after="0" w:line="240" w:lineRule="auto"/>
      </w:pPr>
      <w:r>
        <w:separator/>
      </w:r>
    </w:p>
  </w:footnote>
  <w:footnote w:type="continuationSeparator" w:id="0">
    <w:p w:rsidR="003456C6" w:rsidRDefault="003456C6" w:rsidP="00EC393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92728"/>
      <w:docPartObj>
        <w:docPartGallery w:val="Page Numbers (Top of Page)"/>
        <w:docPartUnique/>
      </w:docPartObj>
    </w:sdtPr>
    <w:sdtContent>
      <w:p w:rsidR="00EC0D62" w:rsidRDefault="006200E3">
        <w:pPr>
          <w:pStyle w:val="Nagwek"/>
          <w:jc w:val="right"/>
        </w:pPr>
        <w:r>
          <w:fldChar w:fldCharType="begin"/>
        </w:r>
        <w:r w:rsidR="00EC0D62">
          <w:instrText xml:space="preserve"> PAGE   \* MERGEFORMAT </w:instrText>
        </w:r>
        <w:r>
          <w:fldChar w:fldCharType="separate"/>
        </w:r>
        <w:r w:rsidR="008106CA">
          <w:rPr>
            <w:noProof/>
          </w:rPr>
          <w:t>11</w:t>
        </w:r>
        <w:r>
          <w:rPr>
            <w:noProof/>
          </w:rPr>
          <w:fldChar w:fldCharType="end"/>
        </w:r>
      </w:p>
    </w:sdtContent>
  </w:sdt>
  <w:p w:rsidR="00EC0D62" w:rsidRPr="003C3156" w:rsidRDefault="00EC0D62" w:rsidP="003C3156">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2770D"/>
    <w:multiLevelType w:val="hybridMultilevel"/>
    <w:tmpl w:val="6A06F8C4"/>
    <w:lvl w:ilvl="0" w:tplc="B0AE989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D75215"/>
    <w:multiLevelType w:val="hybridMultilevel"/>
    <w:tmpl w:val="703ACE96"/>
    <w:lvl w:ilvl="0" w:tplc="EB721C62">
      <w:start w:val="1"/>
      <w:numFmt w:val="bullet"/>
      <w:lvlText w:val="•"/>
      <w:lvlJc w:val="left"/>
      <w:pPr>
        <w:tabs>
          <w:tab w:val="num" w:pos="720"/>
        </w:tabs>
        <w:ind w:left="720" w:hanging="360"/>
      </w:pPr>
      <w:rPr>
        <w:rFonts w:ascii="Arial" w:hAnsi="Arial" w:hint="default"/>
      </w:rPr>
    </w:lvl>
    <w:lvl w:ilvl="1" w:tplc="58E00C94">
      <w:start w:val="718"/>
      <w:numFmt w:val="bullet"/>
      <w:lvlText w:val="–"/>
      <w:lvlJc w:val="left"/>
      <w:pPr>
        <w:tabs>
          <w:tab w:val="num" w:pos="1440"/>
        </w:tabs>
        <w:ind w:left="1440" w:hanging="360"/>
      </w:pPr>
      <w:rPr>
        <w:rFonts w:ascii="Arial" w:hAnsi="Arial" w:hint="default"/>
      </w:rPr>
    </w:lvl>
    <w:lvl w:ilvl="2" w:tplc="EAE8431A" w:tentative="1">
      <w:start w:val="1"/>
      <w:numFmt w:val="bullet"/>
      <w:lvlText w:val="•"/>
      <w:lvlJc w:val="left"/>
      <w:pPr>
        <w:tabs>
          <w:tab w:val="num" w:pos="2160"/>
        </w:tabs>
        <w:ind w:left="2160" w:hanging="360"/>
      </w:pPr>
      <w:rPr>
        <w:rFonts w:ascii="Arial" w:hAnsi="Arial" w:hint="default"/>
      </w:rPr>
    </w:lvl>
    <w:lvl w:ilvl="3" w:tplc="AD22977A" w:tentative="1">
      <w:start w:val="1"/>
      <w:numFmt w:val="bullet"/>
      <w:lvlText w:val="•"/>
      <w:lvlJc w:val="left"/>
      <w:pPr>
        <w:tabs>
          <w:tab w:val="num" w:pos="2880"/>
        </w:tabs>
        <w:ind w:left="2880" w:hanging="360"/>
      </w:pPr>
      <w:rPr>
        <w:rFonts w:ascii="Arial" w:hAnsi="Arial" w:hint="default"/>
      </w:rPr>
    </w:lvl>
    <w:lvl w:ilvl="4" w:tplc="9AEE0998" w:tentative="1">
      <w:start w:val="1"/>
      <w:numFmt w:val="bullet"/>
      <w:lvlText w:val="•"/>
      <w:lvlJc w:val="left"/>
      <w:pPr>
        <w:tabs>
          <w:tab w:val="num" w:pos="3600"/>
        </w:tabs>
        <w:ind w:left="3600" w:hanging="360"/>
      </w:pPr>
      <w:rPr>
        <w:rFonts w:ascii="Arial" w:hAnsi="Arial" w:hint="default"/>
      </w:rPr>
    </w:lvl>
    <w:lvl w:ilvl="5" w:tplc="7480D152" w:tentative="1">
      <w:start w:val="1"/>
      <w:numFmt w:val="bullet"/>
      <w:lvlText w:val="•"/>
      <w:lvlJc w:val="left"/>
      <w:pPr>
        <w:tabs>
          <w:tab w:val="num" w:pos="4320"/>
        </w:tabs>
        <w:ind w:left="4320" w:hanging="360"/>
      </w:pPr>
      <w:rPr>
        <w:rFonts w:ascii="Arial" w:hAnsi="Arial" w:hint="default"/>
      </w:rPr>
    </w:lvl>
    <w:lvl w:ilvl="6" w:tplc="D8FAAA8E" w:tentative="1">
      <w:start w:val="1"/>
      <w:numFmt w:val="bullet"/>
      <w:lvlText w:val="•"/>
      <w:lvlJc w:val="left"/>
      <w:pPr>
        <w:tabs>
          <w:tab w:val="num" w:pos="5040"/>
        </w:tabs>
        <w:ind w:left="5040" w:hanging="360"/>
      </w:pPr>
      <w:rPr>
        <w:rFonts w:ascii="Arial" w:hAnsi="Arial" w:hint="default"/>
      </w:rPr>
    </w:lvl>
    <w:lvl w:ilvl="7" w:tplc="764499F8" w:tentative="1">
      <w:start w:val="1"/>
      <w:numFmt w:val="bullet"/>
      <w:lvlText w:val="•"/>
      <w:lvlJc w:val="left"/>
      <w:pPr>
        <w:tabs>
          <w:tab w:val="num" w:pos="5760"/>
        </w:tabs>
        <w:ind w:left="5760" w:hanging="360"/>
      </w:pPr>
      <w:rPr>
        <w:rFonts w:ascii="Arial" w:hAnsi="Arial" w:hint="default"/>
      </w:rPr>
    </w:lvl>
    <w:lvl w:ilvl="8" w:tplc="39C22D2E" w:tentative="1">
      <w:start w:val="1"/>
      <w:numFmt w:val="bullet"/>
      <w:lvlText w:val="•"/>
      <w:lvlJc w:val="left"/>
      <w:pPr>
        <w:tabs>
          <w:tab w:val="num" w:pos="6480"/>
        </w:tabs>
        <w:ind w:left="6480" w:hanging="360"/>
      </w:pPr>
      <w:rPr>
        <w:rFonts w:ascii="Arial" w:hAnsi="Arial" w:hint="default"/>
      </w:rPr>
    </w:lvl>
  </w:abstractNum>
  <w:abstractNum w:abstractNumId="2">
    <w:nsid w:val="1A513C64"/>
    <w:multiLevelType w:val="hybridMultilevel"/>
    <w:tmpl w:val="F828AD44"/>
    <w:lvl w:ilvl="0" w:tplc="FFFFFFFF">
      <w:start w:val="1"/>
      <w:numFmt w:val="bullet"/>
      <w:pStyle w:val="bullet1"/>
      <w:lvlText w:val=""/>
      <w:lvlJc w:val="left"/>
      <w:pPr>
        <w:tabs>
          <w:tab w:val="num" w:pos="1426"/>
        </w:tabs>
        <w:ind w:left="1426"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3935573E"/>
    <w:multiLevelType w:val="hybridMultilevel"/>
    <w:tmpl w:val="59847472"/>
    <w:lvl w:ilvl="0" w:tplc="724094C2">
      <w:start w:val="1"/>
      <w:numFmt w:val="decimal"/>
      <w:pStyle w:val="boxnumber"/>
      <w:lvlText w:val="Box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406404D1"/>
    <w:multiLevelType w:val="hybridMultilevel"/>
    <w:tmpl w:val="7C44B748"/>
    <w:lvl w:ilvl="0" w:tplc="C80AA572">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7170C"/>
    <w:multiLevelType w:val="hybridMultilevel"/>
    <w:tmpl w:val="BE869250"/>
    <w:lvl w:ilvl="0" w:tplc="77C8AC4E">
      <w:numFmt w:val="bullet"/>
      <w:pStyle w:val="wyroznienietabela"/>
      <w:lvlText w:val="-"/>
      <w:lvlJc w:val="left"/>
      <w:pPr>
        <w:ind w:left="720" w:hanging="360"/>
      </w:pPr>
      <w:rPr>
        <w:rFonts w:ascii="Times New Roman" w:eastAsiaTheme="minorHAnsi"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7BFC589A"/>
    <w:multiLevelType w:val="hybridMultilevel"/>
    <w:tmpl w:val="6C1CD312"/>
    <w:lvl w:ilvl="0" w:tplc="806AC9F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of">
    <w15:presenceInfo w15:providerId="None" w15:userId="Geo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FB4B84"/>
    <w:rsid w:val="00024155"/>
    <w:rsid w:val="0006073B"/>
    <w:rsid w:val="00061765"/>
    <w:rsid w:val="0009188E"/>
    <w:rsid w:val="00093BDF"/>
    <w:rsid w:val="000C6652"/>
    <w:rsid w:val="000D74F0"/>
    <w:rsid w:val="000F5C21"/>
    <w:rsid w:val="0013727C"/>
    <w:rsid w:val="001400BE"/>
    <w:rsid w:val="00144B01"/>
    <w:rsid w:val="00154B89"/>
    <w:rsid w:val="00197E86"/>
    <w:rsid w:val="001A12C9"/>
    <w:rsid w:val="001B6155"/>
    <w:rsid w:val="001E63A8"/>
    <w:rsid w:val="0020054C"/>
    <w:rsid w:val="0021788B"/>
    <w:rsid w:val="0025238B"/>
    <w:rsid w:val="00284996"/>
    <w:rsid w:val="00295AA6"/>
    <w:rsid w:val="002B76D9"/>
    <w:rsid w:val="002C7C95"/>
    <w:rsid w:val="002F42AB"/>
    <w:rsid w:val="002F62C2"/>
    <w:rsid w:val="003073A1"/>
    <w:rsid w:val="0034162E"/>
    <w:rsid w:val="003456C6"/>
    <w:rsid w:val="003926BB"/>
    <w:rsid w:val="003A6CAC"/>
    <w:rsid w:val="003C3156"/>
    <w:rsid w:val="003D3D2F"/>
    <w:rsid w:val="004024E4"/>
    <w:rsid w:val="00410A60"/>
    <w:rsid w:val="00423AE3"/>
    <w:rsid w:val="004404FF"/>
    <w:rsid w:val="00477B96"/>
    <w:rsid w:val="004B3027"/>
    <w:rsid w:val="004D79F0"/>
    <w:rsid w:val="004E521C"/>
    <w:rsid w:val="0053646B"/>
    <w:rsid w:val="00563E21"/>
    <w:rsid w:val="005733BC"/>
    <w:rsid w:val="00577713"/>
    <w:rsid w:val="00597847"/>
    <w:rsid w:val="005C4E69"/>
    <w:rsid w:val="005E67B6"/>
    <w:rsid w:val="00605223"/>
    <w:rsid w:val="006200E3"/>
    <w:rsid w:val="0062683B"/>
    <w:rsid w:val="00626BFA"/>
    <w:rsid w:val="00635003"/>
    <w:rsid w:val="00664A07"/>
    <w:rsid w:val="00677A6D"/>
    <w:rsid w:val="006820E5"/>
    <w:rsid w:val="00693606"/>
    <w:rsid w:val="006C36C8"/>
    <w:rsid w:val="00754594"/>
    <w:rsid w:val="0076093A"/>
    <w:rsid w:val="007D6D85"/>
    <w:rsid w:val="007F194C"/>
    <w:rsid w:val="007F45AB"/>
    <w:rsid w:val="008106CA"/>
    <w:rsid w:val="008444D6"/>
    <w:rsid w:val="00872731"/>
    <w:rsid w:val="0089143D"/>
    <w:rsid w:val="008A6D5D"/>
    <w:rsid w:val="008B4E38"/>
    <w:rsid w:val="008B6DFD"/>
    <w:rsid w:val="008C0DD9"/>
    <w:rsid w:val="008E077D"/>
    <w:rsid w:val="008E1849"/>
    <w:rsid w:val="008F54FF"/>
    <w:rsid w:val="00906FBF"/>
    <w:rsid w:val="00937B9B"/>
    <w:rsid w:val="00942A2A"/>
    <w:rsid w:val="00955170"/>
    <w:rsid w:val="00971180"/>
    <w:rsid w:val="00982870"/>
    <w:rsid w:val="00986CA9"/>
    <w:rsid w:val="00990FFA"/>
    <w:rsid w:val="009C7121"/>
    <w:rsid w:val="00A23230"/>
    <w:rsid w:val="00A334C5"/>
    <w:rsid w:val="00A40599"/>
    <w:rsid w:val="00A75AC0"/>
    <w:rsid w:val="00A84C27"/>
    <w:rsid w:val="00AA0357"/>
    <w:rsid w:val="00AA4148"/>
    <w:rsid w:val="00AC5FF1"/>
    <w:rsid w:val="00B62E95"/>
    <w:rsid w:val="00BA154D"/>
    <w:rsid w:val="00BA53B1"/>
    <w:rsid w:val="00BF0F68"/>
    <w:rsid w:val="00BF313A"/>
    <w:rsid w:val="00C24BFC"/>
    <w:rsid w:val="00C711F7"/>
    <w:rsid w:val="00C832E8"/>
    <w:rsid w:val="00C87F39"/>
    <w:rsid w:val="00C9106F"/>
    <w:rsid w:val="00CC220C"/>
    <w:rsid w:val="00CC523F"/>
    <w:rsid w:val="00CC7591"/>
    <w:rsid w:val="00CD0841"/>
    <w:rsid w:val="00CF45CE"/>
    <w:rsid w:val="00D142AA"/>
    <w:rsid w:val="00D171FF"/>
    <w:rsid w:val="00D2655C"/>
    <w:rsid w:val="00D72530"/>
    <w:rsid w:val="00DA6E88"/>
    <w:rsid w:val="00DA7B4E"/>
    <w:rsid w:val="00DD194B"/>
    <w:rsid w:val="00E44706"/>
    <w:rsid w:val="00E67A13"/>
    <w:rsid w:val="00EC0D62"/>
    <w:rsid w:val="00EC3935"/>
    <w:rsid w:val="00ED3585"/>
    <w:rsid w:val="00ED6627"/>
    <w:rsid w:val="00F13A58"/>
    <w:rsid w:val="00F33FA7"/>
    <w:rsid w:val="00F371CE"/>
    <w:rsid w:val="00F51762"/>
    <w:rsid w:val="00F51E45"/>
    <w:rsid w:val="00F67AD3"/>
    <w:rsid w:val="00F84E92"/>
    <w:rsid w:val="00FA00D6"/>
    <w:rsid w:val="00FB2473"/>
    <w:rsid w:val="00FB30BB"/>
    <w:rsid w:val="00FB4B84"/>
    <w:rsid w:val="00FC242F"/>
    <w:rsid w:val="00FD3B47"/>
    <w:rsid w:val="00FD403D"/>
    <w:rsid w:val="00FE1C4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5238B"/>
    <w:pPr>
      <w:jc w:val="both"/>
    </w:pPr>
    <w:rPr>
      <w:rFonts w:ascii="Times New Roman" w:hAnsi="Times New Roman"/>
    </w:rPr>
  </w:style>
  <w:style w:type="paragraph" w:styleId="Nagwek1">
    <w:name w:val="heading 1"/>
    <w:basedOn w:val="Normalny"/>
    <w:next w:val="Normalny"/>
    <w:link w:val="Nagwek1Znak"/>
    <w:uiPriority w:val="9"/>
    <w:qFormat/>
    <w:rsid w:val="00EC39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1E63A8"/>
    <w:pPr>
      <w:keepNext/>
      <w:keepLines/>
      <w:spacing w:before="200" w:after="0"/>
      <w:outlineLvl w:val="1"/>
    </w:pPr>
    <w:rPr>
      <w:rFonts w:eastAsiaTheme="majorEastAsia" w:cstheme="majorBidi"/>
      <w:b/>
      <w:bCs/>
      <w:color w:val="000000" w:themeColor="text1"/>
      <w:sz w:val="26"/>
      <w:szCs w:val="26"/>
    </w:rPr>
  </w:style>
  <w:style w:type="paragraph" w:styleId="Nagwek3">
    <w:name w:val="heading 3"/>
    <w:basedOn w:val="Normalny"/>
    <w:next w:val="Normalny"/>
    <w:link w:val="Nagwek3Znak"/>
    <w:uiPriority w:val="9"/>
    <w:unhideWhenUsed/>
    <w:qFormat/>
    <w:rsid w:val="0025238B"/>
    <w:pPr>
      <w:keepNext/>
      <w:keepLines/>
      <w:spacing w:before="200" w:after="0"/>
      <w:outlineLvl w:val="2"/>
    </w:pPr>
    <w:rPr>
      <w:rFonts w:eastAsiaTheme="majorEastAsia" w:cstheme="majorBidi"/>
      <w:b/>
      <w:bCs/>
    </w:rPr>
  </w:style>
  <w:style w:type="paragraph" w:styleId="Nagwek4">
    <w:name w:val="heading 4"/>
    <w:basedOn w:val="Normalny"/>
    <w:next w:val="Normalny"/>
    <w:link w:val="Nagwek4Znak"/>
    <w:uiPriority w:val="9"/>
    <w:unhideWhenUsed/>
    <w:qFormat/>
    <w:rsid w:val="008106CA"/>
    <w:pPr>
      <w:keepNext/>
      <w:keepLines/>
      <w:spacing w:before="200" w:after="0"/>
      <w:outlineLvl w:val="3"/>
    </w:pPr>
    <w:rPr>
      <w:rFonts w:eastAsiaTheme="majorEastAsia" w:cstheme="majorBidi"/>
      <w:b/>
      <w:bCs/>
      <w:i/>
      <w:iCs/>
      <w:color w:val="000000" w:themeColor="text1"/>
    </w:rPr>
  </w:style>
  <w:style w:type="character" w:default="1" w:styleId="Domylnaczcionkaakapitu">
    <w:name w:val="Default Paragraph Font"/>
    <w:uiPriority w:val="1"/>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23230"/>
    <w:pPr>
      <w:ind w:left="720"/>
      <w:contextualSpacing/>
    </w:pPr>
  </w:style>
  <w:style w:type="paragraph" w:styleId="Tekstdymka">
    <w:name w:val="Balloon Text"/>
    <w:basedOn w:val="Normalny"/>
    <w:link w:val="TekstdymkaZnak"/>
    <w:uiPriority w:val="99"/>
    <w:semiHidden/>
    <w:unhideWhenUsed/>
    <w:rsid w:val="00A334C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334C5"/>
    <w:rPr>
      <w:rFonts w:ascii="Tahoma" w:hAnsi="Tahoma" w:cs="Tahoma"/>
      <w:sz w:val="16"/>
      <w:szCs w:val="16"/>
    </w:rPr>
  </w:style>
  <w:style w:type="character" w:styleId="Odwoaniedokomentarza">
    <w:name w:val="annotation reference"/>
    <w:basedOn w:val="Domylnaczcionkaakapitu"/>
    <w:uiPriority w:val="99"/>
    <w:semiHidden/>
    <w:unhideWhenUsed/>
    <w:rsid w:val="00A334C5"/>
    <w:rPr>
      <w:sz w:val="16"/>
      <w:szCs w:val="16"/>
    </w:rPr>
  </w:style>
  <w:style w:type="paragraph" w:styleId="Tekstkomentarza">
    <w:name w:val="annotation text"/>
    <w:basedOn w:val="Normalny"/>
    <w:link w:val="TekstkomentarzaZnak"/>
    <w:uiPriority w:val="99"/>
    <w:semiHidden/>
    <w:unhideWhenUsed/>
    <w:rsid w:val="00A334C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334C5"/>
    <w:rPr>
      <w:sz w:val="20"/>
      <w:szCs w:val="20"/>
    </w:rPr>
  </w:style>
  <w:style w:type="paragraph" w:styleId="Tematkomentarza">
    <w:name w:val="annotation subject"/>
    <w:basedOn w:val="Tekstkomentarza"/>
    <w:next w:val="Tekstkomentarza"/>
    <w:link w:val="TematkomentarzaZnak"/>
    <w:uiPriority w:val="99"/>
    <w:semiHidden/>
    <w:unhideWhenUsed/>
    <w:rsid w:val="00A334C5"/>
    <w:rPr>
      <w:b/>
      <w:bCs/>
    </w:rPr>
  </w:style>
  <w:style w:type="character" w:customStyle="1" w:styleId="TematkomentarzaZnak">
    <w:name w:val="Temat komentarza Znak"/>
    <w:basedOn w:val="TekstkomentarzaZnak"/>
    <w:link w:val="Tematkomentarza"/>
    <w:uiPriority w:val="99"/>
    <w:semiHidden/>
    <w:rsid w:val="00A334C5"/>
    <w:rPr>
      <w:b/>
      <w:bCs/>
      <w:sz w:val="20"/>
      <w:szCs w:val="20"/>
    </w:rPr>
  </w:style>
  <w:style w:type="paragraph" w:styleId="Tytu">
    <w:name w:val="Title"/>
    <w:basedOn w:val="Normalny"/>
    <w:next w:val="Normalny"/>
    <w:link w:val="TytuZnak"/>
    <w:uiPriority w:val="10"/>
    <w:qFormat/>
    <w:rsid w:val="008B4E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uiPriority w:val="10"/>
    <w:rsid w:val="008B4E38"/>
    <w:rPr>
      <w:rFonts w:asciiTheme="majorHAnsi" w:eastAsiaTheme="majorEastAsia" w:hAnsiTheme="majorHAnsi" w:cstheme="majorBidi"/>
      <w:color w:val="17365D" w:themeColor="text2" w:themeShade="BF"/>
      <w:spacing w:val="5"/>
      <w:kern w:val="28"/>
      <w:sz w:val="52"/>
      <w:szCs w:val="52"/>
    </w:rPr>
  </w:style>
  <w:style w:type="character" w:customStyle="1" w:styleId="Nagwek2Znak">
    <w:name w:val="Nagłówek 2 Znak"/>
    <w:basedOn w:val="Domylnaczcionkaakapitu"/>
    <w:link w:val="Nagwek2"/>
    <w:uiPriority w:val="9"/>
    <w:rsid w:val="001E63A8"/>
    <w:rPr>
      <w:rFonts w:ascii="Times New Roman" w:eastAsiaTheme="majorEastAsia" w:hAnsi="Times New Roman" w:cstheme="majorBidi"/>
      <w:b/>
      <w:bCs/>
      <w:color w:val="000000" w:themeColor="text1"/>
      <w:sz w:val="26"/>
      <w:szCs w:val="26"/>
    </w:rPr>
  </w:style>
  <w:style w:type="character" w:customStyle="1" w:styleId="Nagwek1Znak">
    <w:name w:val="Nagłówek 1 Znak"/>
    <w:basedOn w:val="Domylnaczcionkaakapitu"/>
    <w:link w:val="Nagwek1"/>
    <w:uiPriority w:val="9"/>
    <w:rsid w:val="00EC3935"/>
    <w:rPr>
      <w:rFonts w:asciiTheme="majorHAnsi" w:eastAsiaTheme="majorEastAsia" w:hAnsiTheme="majorHAnsi" w:cstheme="majorBidi"/>
      <w:b/>
      <w:bCs/>
      <w:color w:val="365F91" w:themeColor="accent1" w:themeShade="BF"/>
      <w:sz w:val="28"/>
      <w:szCs w:val="28"/>
    </w:rPr>
  </w:style>
  <w:style w:type="character" w:customStyle="1" w:styleId="Nagwek3Znak">
    <w:name w:val="Nagłówek 3 Znak"/>
    <w:basedOn w:val="Domylnaczcionkaakapitu"/>
    <w:link w:val="Nagwek3"/>
    <w:uiPriority w:val="9"/>
    <w:rsid w:val="0025238B"/>
    <w:rPr>
      <w:rFonts w:ascii="Times New Roman" w:eastAsiaTheme="majorEastAsia" w:hAnsi="Times New Roman" w:cstheme="majorBidi"/>
      <w:b/>
      <w:bCs/>
    </w:rPr>
  </w:style>
  <w:style w:type="paragraph" w:styleId="Nagwek">
    <w:name w:val="header"/>
    <w:basedOn w:val="Normalny"/>
    <w:link w:val="NagwekZnak"/>
    <w:uiPriority w:val="99"/>
    <w:unhideWhenUsed/>
    <w:rsid w:val="00EC39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3935"/>
  </w:style>
  <w:style w:type="paragraph" w:styleId="Stopka">
    <w:name w:val="footer"/>
    <w:basedOn w:val="Normalny"/>
    <w:link w:val="StopkaZnak"/>
    <w:uiPriority w:val="99"/>
    <w:semiHidden/>
    <w:unhideWhenUsed/>
    <w:rsid w:val="00EC3935"/>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EC3935"/>
  </w:style>
  <w:style w:type="paragraph" w:styleId="Tekstprzypisudolnego">
    <w:name w:val="footnote text"/>
    <w:basedOn w:val="Normalny"/>
    <w:link w:val="TekstprzypisudolnegoZnak"/>
    <w:semiHidden/>
    <w:rsid w:val="00DA6E88"/>
    <w:pPr>
      <w:widowControl w:val="0"/>
      <w:spacing w:after="0" w:line="240" w:lineRule="auto"/>
      <w:ind w:firstLine="737"/>
    </w:pPr>
    <w:rPr>
      <w:rFonts w:eastAsia="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DA6E88"/>
    <w:rPr>
      <w:rFonts w:ascii="Times New Roman" w:eastAsia="Times New Roman" w:hAnsi="Times New Roman" w:cs="Times New Roman"/>
      <w:sz w:val="20"/>
      <w:szCs w:val="20"/>
      <w:lang w:eastAsia="pl-PL"/>
    </w:rPr>
  </w:style>
  <w:style w:type="character" w:styleId="Odwoanieprzypisudolnego">
    <w:name w:val="footnote reference"/>
    <w:basedOn w:val="Domylnaczcionkaakapitu"/>
    <w:semiHidden/>
    <w:rsid w:val="00DA6E88"/>
    <w:rPr>
      <w:rFonts w:ascii="Southern" w:hAnsi="Southern"/>
      <w:sz w:val="20"/>
      <w:vertAlign w:val="superscript"/>
    </w:rPr>
  </w:style>
  <w:style w:type="paragraph" w:customStyle="1" w:styleId="bullet1">
    <w:name w:val="bullet1"/>
    <w:basedOn w:val="Normalny"/>
    <w:rsid w:val="00DA6E88"/>
    <w:pPr>
      <w:numPr>
        <w:numId w:val="1"/>
      </w:numPr>
      <w:tabs>
        <w:tab w:val="clear" w:pos="1426"/>
      </w:tabs>
      <w:spacing w:after="0" w:line="240" w:lineRule="auto"/>
      <w:ind w:left="0" w:firstLine="357"/>
    </w:pPr>
    <w:rPr>
      <w:rFonts w:eastAsia="Times New Roman" w:cs="Times New Roman"/>
      <w:sz w:val="24"/>
      <w:szCs w:val="20"/>
      <w:lang w:eastAsia="pl-PL"/>
    </w:rPr>
  </w:style>
  <w:style w:type="character" w:customStyle="1" w:styleId="Nagwek4Znak">
    <w:name w:val="Nagłówek 4 Znak"/>
    <w:basedOn w:val="Domylnaczcionkaakapitu"/>
    <w:link w:val="Nagwek4"/>
    <w:uiPriority w:val="9"/>
    <w:rsid w:val="008106CA"/>
    <w:rPr>
      <w:rFonts w:ascii="Times New Roman" w:eastAsiaTheme="majorEastAsia" w:hAnsi="Times New Roman" w:cstheme="majorBidi"/>
      <w:b/>
      <w:bCs/>
      <w:i/>
      <w:iCs/>
      <w:color w:val="000000" w:themeColor="text1"/>
    </w:rPr>
  </w:style>
  <w:style w:type="paragraph" w:styleId="Tekstprzypisukocowego">
    <w:name w:val="endnote text"/>
    <w:basedOn w:val="Normalny"/>
    <w:link w:val="TekstprzypisukocowegoZnak"/>
    <w:uiPriority w:val="99"/>
    <w:semiHidden/>
    <w:unhideWhenUsed/>
    <w:rsid w:val="00626BF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626BFA"/>
    <w:rPr>
      <w:sz w:val="20"/>
      <w:szCs w:val="20"/>
    </w:rPr>
  </w:style>
  <w:style w:type="character" w:styleId="Odwoanieprzypisukocowego">
    <w:name w:val="endnote reference"/>
    <w:basedOn w:val="Domylnaczcionkaakapitu"/>
    <w:uiPriority w:val="99"/>
    <w:semiHidden/>
    <w:unhideWhenUsed/>
    <w:rsid w:val="00626BFA"/>
    <w:rPr>
      <w:vertAlign w:val="superscript"/>
    </w:rPr>
  </w:style>
  <w:style w:type="paragraph" w:styleId="Bezodstpw">
    <w:name w:val="No Spacing"/>
    <w:uiPriority w:val="1"/>
    <w:qFormat/>
    <w:rsid w:val="00BF0F68"/>
    <w:pPr>
      <w:spacing w:after="0" w:line="240" w:lineRule="auto"/>
      <w:jc w:val="both"/>
    </w:pPr>
  </w:style>
  <w:style w:type="table" w:styleId="Tabela-Siatka">
    <w:name w:val="Table Grid"/>
    <w:basedOn w:val="Standardowy"/>
    <w:uiPriority w:val="59"/>
    <w:rsid w:val="00BF0F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yroznienietabela">
    <w:name w:val="wyroznienie_tabela"/>
    <w:basedOn w:val="Normalny"/>
    <w:qFormat/>
    <w:rsid w:val="00093BDF"/>
    <w:pPr>
      <w:numPr>
        <w:numId w:val="6"/>
      </w:numPr>
      <w:spacing w:after="0" w:line="240" w:lineRule="auto"/>
    </w:pPr>
    <w:rPr>
      <w:sz w:val="20"/>
      <w:lang w:val="en-US"/>
    </w:rPr>
  </w:style>
  <w:style w:type="paragraph" w:customStyle="1" w:styleId="wtabelistandard">
    <w:name w:val="w_tabeli_standard"/>
    <w:basedOn w:val="Normalny"/>
    <w:rsid w:val="00093BDF"/>
    <w:pPr>
      <w:tabs>
        <w:tab w:val="left" w:pos="1134"/>
      </w:tabs>
      <w:spacing w:before="80" w:after="0" w:line="240" w:lineRule="auto"/>
      <w:ind w:left="113" w:hanging="113"/>
    </w:pPr>
    <w:rPr>
      <w:rFonts w:eastAsia="Times New Roman" w:cs="Times New Roman"/>
      <w:szCs w:val="20"/>
      <w:lang w:eastAsia="pl-PL"/>
    </w:rPr>
  </w:style>
  <w:style w:type="paragraph" w:customStyle="1" w:styleId="boxnumber">
    <w:name w:val="box_number"/>
    <w:basedOn w:val="Normalny"/>
    <w:qFormat/>
    <w:rsid w:val="00093BDF"/>
    <w:pPr>
      <w:numPr>
        <w:numId w:val="7"/>
      </w:numPr>
      <w:spacing w:after="0" w:line="240" w:lineRule="auto"/>
      <w:ind w:left="170" w:firstLine="0"/>
    </w:pPr>
    <w:rPr>
      <w:b/>
      <w:lang w:val="en-US" w:eastAsia="pl-PL"/>
    </w:rPr>
  </w:style>
</w:styles>
</file>

<file path=word/webSettings.xml><?xml version="1.0" encoding="utf-8"?>
<w:webSettings xmlns:r="http://schemas.openxmlformats.org/officeDocument/2006/relationships" xmlns:w="http://schemas.openxmlformats.org/wordprocessingml/2006/main">
  <w:divs>
    <w:div w:id="1506821392">
      <w:bodyDiv w:val="1"/>
      <w:marLeft w:val="0"/>
      <w:marRight w:val="0"/>
      <w:marTop w:val="0"/>
      <w:marBottom w:val="0"/>
      <w:divBdr>
        <w:top w:val="none" w:sz="0" w:space="0" w:color="auto"/>
        <w:left w:val="none" w:sz="0" w:space="0" w:color="auto"/>
        <w:bottom w:val="none" w:sz="0" w:space="0" w:color="auto"/>
        <w:right w:val="none" w:sz="0" w:space="0" w:color="auto"/>
      </w:divBdr>
      <w:divsChild>
        <w:div w:id="1587416814">
          <w:marLeft w:val="547"/>
          <w:marRight w:val="0"/>
          <w:marTop w:val="154"/>
          <w:marBottom w:val="0"/>
          <w:divBdr>
            <w:top w:val="none" w:sz="0" w:space="0" w:color="auto"/>
            <w:left w:val="none" w:sz="0" w:space="0" w:color="auto"/>
            <w:bottom w:val="none" w:sz="0" w:space="0" w:color="auto"/>
            <w:right w:val="none" w:sz="0" w:space="0" w:color="auto"/>
          </w:divBdr>
        </w:div>
        <w:div w:id="1372807451">
          <w:marLeft w:val="1166"/>
          <w:marRight w:val="0"/>
          <w:marTop w:val="134"/>
          <w:marBottom w:val="0"/>
          <w:divBdr>
            <w:top w:val="none" w:sz="0" w:space="0" w:color="auto"/>
            <w:left w:val="none" w:sz="0" w:space="0" w:color="auto"/>
            <w:bottom w:val="none" w:sz="0" w:space="0" w:color="auto"/>
            <w:right w:val="none" w:sz="0" w:space="0" w:color="auto"/>
          </w:divBdr>
        </w:div>
        <w:div w:id="2128087318">
          <w:marLeft w:val="1166"/>
          <w:marRight w:val="0"/>
          <w:marTop w:val="134"/>
          <w:marBottom w:val="0"/>
          <w:divBdr>
            <w:top w:val="none" w:sz="0" w:space="0" w:color="auto"/>
            <w:left w:val="none" w:sz="0" w:space="0" w:color="auto"/>
            <w:bottom w:val="none" w:sz="0" w:space="0" w:color="auto"/>
            <w:right w:val="none" w:sz="0" w:space="0" w:color="auto"/>
          </w:divBdr>
        </w:div>
        <w:div w:id="177358671">
          <w:marLeft w:val="1166"/>
          <w:marRight w:val="0"/>
          <w:marTop w:val="134"/>
          <w:marBottom w:val="0"/>
          <w:divBdr>
            <w:top w:val="none" w:sz="0" w:space="0" w:color="auto"/>
            <w:left w:val="none" w:sz="0" w:space="0" w:color="auto"/>
            <w:bottom w:val="none" w:sz="0" w:space="0" w:color="auto"/>
            <w:right w:val="none" w:sz="0" w:space="0" w:color="auto"/>
          </w:divBdr>
        </w:div>
        <w:div w:id="1220097450">
          <w:marLeft w:val="547"/>
          <w:marRight w:val="0"/>
          <w:marTop w:val="154"/>
          <w:marBottom w:val="0"/>
          <w:divBdr>
            <w:top w:val="none" w:sz="0" w:space="0" w:color="auto"/>
            <w:left w:val="none" w:sz="0" w:space="0" w:color="auto"/>
            <w:bottom w:val="none" w:sz="0" w:space="0" w:color="auto"/>
            <w:right w:val="none" w:sz="0" w:space="0" w:color="auto"/>
          </w:divBdr>
        </w:div>
      </w:divsChild>
    </w:div>
    <w:div w:id="1644696967">
      <w:bodyDiv w:val="1"/>
      <w:marLeft w:val="0"/>
      <w:marRight w:val="0"/>
      <w:marTop w:val="0"/>
      <w:marBottom w:val="0"/>
      <w:divBdr>
        <w:top w:val="none" w:sz="0" w:space="0" w:color="auto"/>
        <w:left w:val="none" w:sz="0" w:space="0" w:color="auto"/>
        <w:bottom w:val="none" w:sz="0" w:space="0" w:color="auto"/>
        <w:right w:val="none" w:sz="0" w:space="0" w:color="auto"/>
      </w:divBdr>
    </w:div>
    <w:div w:id="188547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DOKUMENTY\!teksty_postdoc\Future_Places_Stockholm\sweden_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DOKUMENTY\!teksty_postdoc\Future_Places_Stockholm\sweden_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pl-PL"/>
  <c:chart>
    <c:plotArea>
      <c:layout/>
      <c:barChart>
        <c:barDir val="col"/>
        <c:grouping val="clustered"/>
        <c:ser>
          <c:idx val="0"/>
          <c:order val="0"/>
          <c:cat>
            <c:strRef>
              <c:f>sektory_podpisane_umowy!$B$8:$B$23</c:f>
              <c:strCache>
                <c:ptCount val="16"/>
                <c:pt idx="0">
                  <c:v>Other</c:v>
                </c:pt>
                <c:pt idx="1">
                  <c:v>Services</c:v>
                </c:pt>
                <c:pt idx="2">
                  <c:v>Urban infrastructure</c:v>
                </c:pt>
                <c:pt idx="3">
                  <c:v>Urban regeneration</c:v>
                </c:pt>
                <c:pt idx="4">
                  <c:v>Waste management</c:v>
                </c:pt>
                <c:pt idx="5">
                  <c:v>Tourism</c:v>
                </c:pt>
                <c:pt idx="6">
                  <c:v>Health care</c:v>
                </c:pt>
                <c:pt idx="7">
                  <c:v>Power supply</c:v>
                </c:pt>
                <c:pt idx="8">
                  <c:v>Car parks</c:v>
                </c:pt>
                <c:pt idx="9">
                  <c:v>Education</c:v>
                </c:pt>
                <c:pt idx="10">
                  <c:v>Social housing</c:v>
                </c:pt>
                <c:pt idx="11">
                  <c:v>Transport infrastructure</c:v>
                </c:pt>
                <c:pt idx="12">
                  <c:v>Energy efficiency</c:v>
                </c:pt>
                <c:pt idx="13">
                  <c:v>Water and sewage treatment</c:v>
                </c:pt>
                <c:pt idx="14">
                  <c:v>IT infrastructure</c:v>
                </c:pt>
                <c:pt idx="15">
                  <c:v>Sport and recreation</c:v>
                </c:pt>
              </c:strCache>
            </c:strRef>
          </c:cat>
          <c:val>
            <c:numRef>
              <c:f>sektory_podpisane_umowy!$C$8:$C$23</c:f>
              <c:numCache>
                <c:formatCode>General</c:formatCode>
                <c:ptCount val="16"/>
                <c:pt idx="0">
                  <c:v>1</c:v>
                </c:pt>
                <c:pt idx="1">
                  <c:v>1</c:v>
                </c:pt>
                <c:pt idx="2">
                  <c:v>1</c:v>
                </c:pt>
                <c:pt idx="3">
                  <c:v>2</c:v>
                </c:pt>
                <c:pt idx="4">
                  <c:v>4</c:v>
                </c:pt>
                <c:pt idx="5">
                  <c:v>4</c:v>
                </c:pt>
                <c:pt idx="6">
                  <c:v>4</c:v>
                </c:pt>
                <c:pt idx="7">
                  <c:v>4</c:v>
                </c:pt>
                <c:pt idx="8">
                  <c:v>4</c:v>
                </c:pt>
                <c:pt idx="9">
                  <c:v>6</c:v>
                </c:pt>
                <c:pt idx="10">
                  <c:v>6</c:v>
                </c:pt>
                <c:pt idx="11">
                  <c:v>7</c:v>
                </c:pt>
                <c:pt idx="12">
                  <c:v>8</c:v>
                </c:pt>
                <c:pt idx="13">
                  <c:v>9</c:v>
                </c:pt>
                <c:pt idx="14">
                  <c:v>10</c:v>
                </c:pt>
                <c:pt idx="15">
                  <c:v>11</c:v>
                </c:pt>
              </c:numCache>
            </c:numRef>
          </c:val>
        </c:ser>
        <c:axId val="111767552"/>
        <c:axId val="111910912"/>
      </c:barChart>
      <c:catAx>
        <c:axId val="111767552"/>
        <c:scaling>
          <c:orientation val="minMax"/>
        </c:scaling>
        <c:axPos val="b"/>
        <c:numFmt formatCode="General" sourceLinked="0"/>
        <c:tickLblPos val="nextTo"/>
        <c:txPr>
          <a:bodyPr/>
          <a:lstStyle/>
          <a:p>
            <a:pPr>
              <a:defRPr>
                <a:latin typeface="Times New Roman" pitchFamily="18" charset="0"/>
                <a:cs typeface="Times New Roman" pitchFamily="18" charset="0"/>
              </a:defRPr>
            </a:pPr>
            <a:endParaRPr lang="pl-PL"/>
          </a:p>
        </c:txPr>
        <c:crossAx val="111910912"/>
        <c:crosses val="autoZero"/>
        <c:auto val="1"/>
        <c:lblAlgn val="ctr"/>
        <c:lblOffset val="100"/>
      </c:catAx>
      <c:valAx>
        <c:axId val="111910912"/>
        <c:scaling>
          <c:orientation val="minMax"/>
        </c:scaling>
        <c:axPos val="l"/>
        <c:majorGridlines/>
        <c:numFmt formatCode="General" sourceLinked="1"/>
        <c:tickLblPos val="nextTo"/>
        <c:txPr>
          <a:bodyPr/>
          <a:lstStyle/>
          <a:p>
            <a:pPr>
              <a:defRPr>
                <a:latin typeface="Times New Roman" pitchFamily="18" charset="0"/>
                <a:cs typeface="Times New Roman" pitchFamily="18" charset="0"/>
              </a:defRPr>
            </a:pPr>
            <a:endParaRPr lang="pl-PL"/>
          </a:p>
        </c:txPr>
        <c:crossAx val="111767552"/>
        <c:crosses val="autoZero"/>
        <c:crossBetween val="between"/>
      </c:valAx>
    </c:plotArea>
    <c:plotVisOnly val="1"/>
    <c:dispBlanksAs val="gap"/>
  </c:chart>
  <c:spPr>
    <a:noFill/>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pl-PL"/>
  <c:chart>
    <c:autoTitleDeleted val="1"/>
    <c:plotArea>
      <c:layout/>
      <c:doughnutChart>
        <c:varyColors val="1"/>
        <c:ser>
          <c:idx val="0"/>
          <c:order val="0"/>
          <c:dLbls>
            <c:dLbl>
              <c:idx val="0"/>
              <c:layout>
                <c:manualLayout>
                  <c:x val="0"/>
                  <c:y val="-5.3700403303245686E-2"/>
                </c:manualLayout>
              </c:layout>
              <c:showPercent val="1"/>
              <c:extLst>
                <c:ext xmlns:c15="http://schemas.microsoft.com/office/drawing/2012/chart" uri="{CE6537A1-D6FC-4f65-9D91-7224C49458BB}"/>
              </c:extLst>
            </c:dLbl>
            <c:spPr>
              <a:noFill/>
              <a:ln>
                <a:noFill/>
              </a:ln>
              <a:effectLst/>
            </c:spPr>
            <c:txPr>
              <a:bodyPr/>
              <a:lstStyle/>
              <a:p>
                <a:pPr>
                  <a:defRPr sz="800">
                    <a:latin typeface="Times New Roman" pitchFamily="18" charset="0"/>
                    <a:cs typeface="Times New Roman" pitchFamily="18" charset="0"/>
                  </a:defRPr>
                </a:pPr>
                <a:endParaRPr lang="pl-PL"/>
              </a:p>
            </c:txPr>
            <c:showPercent val="1"/>
            <c:showLeaderLines val="1"/>
            <c:extLst>
              <c:ext xmlns:c15="http://schemas.microsoft.com/office/drawing/2012/chart" uri="{CE6537A1-D6FC-4f65-9D91-7224C49458BB}"/>
            </c:extLst>
          </c:dLbls>
          <c:cat>
            <c:strRef>
              <c:f>wielkość_podpisane_umowy!$B$8:$B$14</c:f>
              <c:strCache>
                <c:ptCount val="7"/>
                <c:pt idx="0">
                  <c:v>N/A</c:v>
                </c:pt>
                <c:pt idx="1">
                  <c:v>Big (25-62 mln euro)</c:v>
                </c:pt>
                <c:pt idx="2">
                  <c:v>Very big (over 62 mln euro)</c:v>
                </c:pt>
                <c:pt idx="3">
                  <c:v>Middle-sized (12,5 - 25 mln euro)</c:v>
                </c:pt>
                <c:pt idx="4">
                  <c:v>Small (5-12,5 mln euro)</c:v>
                </c:pt>
                <c:pt idx="5">
                  <c:v>Very small (1,25 - 5 mln euro)</c:v>
                </c:pt>
                <c:pt idx="6">
                  <c:v>Micro (less than 1,25 mln euro)</c:v>
                </c:pt>
              </c:strCache>
            </c:strRef>
          </c:cat>
          <c:val>
            <c:numRef>
              <c:f>wielkość_podpisane_umowy!$C$8:$C$14</c:f>
              <c:numCache>
                <c:formatCode>General</c:formatCode>
                <c:ptCount val="7"/>
                <c:pt idx="0">
                  <c:v>1</c:v>
                </c:pt>
                <c:pt idx="1">
                  <c:v>3</c:v>
                </c:pt>
                <c:pt idx="2">
                  <c:v>5</c:v>
                </c:pt>
                <c:pt idx="3">
                  <c:v>5</c:v>
                </c:pt>
                <c:pt idx="4">
                  <c:v>13</c:v>
                </c:pt>
                <c:pt idx="5">
                  <c:v>16</c:v>
                </c:pt>
                <c:pt idx="6">
                  <c:v>39</c:v>
                </c:pt>
              </c:numCache>
            </c:numRef>
          </c:val>
        </c:ser>
        <c:dLbls>
          <c:showPercent val="1"/>
        </c:dLbls>
        <c:firstSliceAng val="0"/>
        <c:holeSize val="50"/>
      </c:doughnutChart>
    </c:plotArea>
    <c:legend>
      <c:legendPos val="r"/>
      <c:layout>
        <c:manualLayout>
          <c:xMode val="edge"/>
          <c:yMode val="edge"/>
          <c:x val="0.58505940046967841"/>
          <c:y val="0.33453539900888296"/>
          <c:w val="0.4044142837408487"/>
          <c:h val="0.49630458997503407"/>
        </c:manualLayout>
      </c:layout>
      <c:txPr>
        <a:bodyPr/>
        <a:lstStyle/>
        <a:p>
          <a:pPr>
            <a:defRPr sz="800">
              <a:latin typeface="Times New Roman" pitchFamily="18" charset="0"/>
              <a:cs typeface="Times New Roman" pitchFamily="18" charset="0"/>
            </a:defRPr>
          </a:pPr>
          <a:endParaRPr lang="pl-PL"/>
        </a:p>
      </c:txPr>
    </c:legend>
    <c:plotVisOnly val="1"/>
    <c:dispBlanksAs val="zero"/>
  </c:chart>
  <c:spPr>
    <a:noFill/>
    <a:ln>
      <a:noFill/>
    </a:ln>
  </c:spPr>
  <c:externalData r:id="rId1"/>
</c:chartSpace>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433909-09D3-42DC-AFDC-A17657311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4231</Words>
  <Characters>25391</Characters>
  <Application>Microsoft Office Word</Application>
  <DocSecurity>0</DocSecurity>
  <Lines>211</Lines>
  <Paragraphs>59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Milwaukee Health Department</Company>
  <LinksUpToDate>false</LinksUpToDate>
  <CharactersWithSpaces>29563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Kasia</dc:creator>
  <cp:lastModifiedBy>Kasia</cp:lastModifiedBy>
  <cp:revision>4</cp:revision>
  <cp:lastPrinted>2015-03-31T12:15:00Z</cp:lastPrinted>
  <dcterms:created xsi:type="dcterms:W3CDTF">2015-05-31T20:01:00Z</dcterms:created>
  <dcterms:modified xsi:type="dcterms:W3CDTF">2015-05-31T20:36:00Z</dcterms:modified>
</cp:coreProperties>
</file>